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11123" w14:textId="70A07F4B" w:rsidR="003065C9" w:rsidRPr="00BF5AEE" w:rsidRDefault="00BF5AEE" w:rsidP="004830E2">
      <w:pPr>
        <w:pStyle w:val="Geenafstand"/>
        <w:rPr>
          <w:rFonts w:ascii="Arial" w:hAnsi="Arial" w:cs="Arial"/>
          <w:b/>
          <w:lang w:val="en-US"/>
        </w:rPr>
      </w:pPr>
      <w:r w:rsidRPr="00BF5AEE">
        <w:rPr>
          <w:rFonts w:ascii="Arial" w:eastAsia="Times New Roman" w:hAnsi="Arial" w:cs="Arial"/>
          <w:b/>
          <w:color w:val="0000FF"/>
          <w:sz w:val="24"/>
          <w:szCs w:val="24"/>
        </w:rPr>
        <w:t xml:space="preserve">Country update on Injury Surveillance: Turkey </w:t>
      </w:r>
      <w:r w:rsidRPr="00BF5AEE">
        <w:rPr>
          <w:rFonts w:ascii="Arial" w:hAnsi="Arial" w:cs="Arial"/>
          <w:b/>
          <w:lang w:val="en-US"/>
        </w:rPr>
        <w:t xml:space="preserve"> </w:t>
      </w:r>
    </w:p>
    <w:p w14:paraId="58404FF7" w14:textId="0819CA15" w:rsidR="00BF5AEE" w:rsidRPr="00BF5AEE" w:rsidRDefault="00BF5AEE" w:rsidP="004830E2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7E641009" wp14:editId="2D4AA6F7">
            <wp:extent cx="5760720" cy="2060448"/>
            <wp:effectExtent l="0" t="0" r="0" b="0"/>
            <wp:docPr id="1" name="Afbeelding 1" descr="Afbeeldingsresultaat voor Ank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nka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0007" w14:textId="77777777" w:rsidR="00BF5AEE" w:rsidRPr="000C1B6C" w:rsidRDefault="00BF5AEE" w:rsidP="004830E2">
      <w:pPr>
        <w:pStyle w:val="Geenafstand"/>
        <w:rPr>
          <w:rFonts w:ascii="Arial" w:hAnsi="Arial" w:cs="Arial"/>
          <w:i/>
          <w:color w:val="0000FF"/>
          <w:sz w:val="20"/>
          <w:szCs w:val="20"/>
          <w:lang w:val="lb-LU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val="lb-LU"/>
        </w:rPr>
        <w:t>Introduction</w:t>
      </w:r>
    </w:p>
    <w:p w14:paraId="6A2BF875" w14:textId="75620257" w:rsidR="00621C5C" w:rsidRPr="00BF5AEE" w:rsidRDefault="003065C9" w:rsidP="004830E2">
      <w:pPr>
        <w:spacing w:after="240"/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>Turkey is a democratic, secular, constitutional republic with a diverse cultural heritage. According to the Address-Based Population Recording System of Turkey, the country's population was 7</w:t>
      </w:r>
      <w:r w:rsidR="00621C5C" w:rsidRPr="00BF5AEE">
        <w:rPr>
          <w:rFonts w:ascii="Arial" w:hAnsi="Arial" w:cs="Arial"/>
          <w:sz w:val="20"/>
          <w:szCs w:val="20"/>
          <w:lang w:val="en-US"/>
        </w:rPr>
        <w:t>8</w:t>
      </w:r>
      <w:r w:rsidRPr="00BF5AEE">
        <w:rPr>
          <w:rFonts w:ascii="Arial" w:hAnsi="Arial" w:cs="Arial"/>
          <w:sz w:val="20"/>
          <w:szCs w:val="20"/>
          <w:lang w:val="en-US"/>
        </w:rPr>
        <w:t>.7 million people in 201</w:t>
      </w:r>
      <w:r w:rsidR="00621C5C" w:rsidRPr="00BF5AEE">
        <w:rPr>
          <w:rFonts w:ascii="Arial" w:hAnsi="Arial" w:cs="Arial"/>
          <w:sz w:val="20"/>
          <w:szCs w:val="20"/>
          <w:lang w:val="en-US"/>
        </w:rPr>
        <w:t>5</w:t>
      </w:r>
      <w:r w:rsidR="00A94325" w:rsidRPr="00BF5AEE">
        <w:rPr>
          <w:rFonts w:ascii="Arial" w:hAnsi="Arial" w:cs="Arial"/>
          <w:sz w:val="20"/>
          <w:szCs w:val="20"/>
          <w:lang w:val="en-US"/>
        </w:rPr>
        <w:t>.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F4D6E13" w14:textId="6989BC93" w:rsidR="00621C5C" w:rsidRPr="00BF5AEE" w:rsidRDefault="008A3A8C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Since its </w:t>
      </w:r>
      <w:r w:rsidR="00BF5AEE" w:rsidRPr="00BF5AEE">
        <w:rPr>
          <w:rFonts w:ascii="Arial" w:hAnsi="Arial" w:cs="Arial"/>
          <w:sz w:val="20"/>
          <w:szCs w:val="20"/>
          <w:lang w:val="en-US"/>
        </w:rPr>
        <w:t>establishment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in 2012, </w:t>
      </w:r>
      <w:r w:rsidR="004830E2">
        <w:rPr>
          <w:rFonts w:ascii="Arial" w:hAnsi="Arial" w:cs="Arial"/>
          <w:sz w:val="20"/>
          <w:szCs w:val="20"/>
          <w:lang w:val="en-US"/>
        </w:rPr>
        <w:t xml:space="preserve">the </w:t>
      </w:r>
      <w:r w:rsidR="00621C5C" w:rsidRPr="00BF5AEE">
        <w:rPr>
          <w:rFonts w:ascii="Arial" w:hAnsi="Arial" w:cs="Arial"/>
          <w:sz w:val="20"/>
          <w:szCs w:val="20"/>
          <w:lang w:val="en-US"/>
        </w:rPr>
        <w:t xml:space="preserve">Public Health </w:t>
      </w:r>
      <w:r w:rsidRPr="00BF5AEE">
        <w:rPr>
          <w:rFonts w:ascii="Arial" w:hAnsi="Arial" w:cs="Arial"/>
          <w:sz w:val="20"/>
          <w:szCs w:val="20"/>
          <w:lang w:val="en-US"/>
        </w:rPr>
        <w:t>Institution of Turkey (PHIT) is the main a</w:t>
      </w:r>
      <w:r w:rsidR="00621C5C" w:rsidRPr="00BF5AEE">
        <w:rPr>
          <w:rFonts w:ascii="Arial" w:hAnsi="Arial" w:cs="Arial"/>
          <w:sz w:val="20"/>
          <w:szCs w:val="20"/>
          <w:lang w:val="en-US"/>
        </w:rPr>
        <w:t>gency carry</w:t>
      </w:r>
      <w:r w:rsidRPr="00BF5AEE">
        <w:rPr>
          <w:rFonts w:ascii="Arial" w:hAnsi="Arial" w:cs="Arial"/>
          <w:sz w:val="20"/>
          <w:szCs w:val="20"/>
          <w:lang w:val="en-US"/>
        </w:rPr>
        <w:t>ing</w:t>
      </w:r>
      <w:r w:rsidR="00621C5C" w:rsidRPr="00BF5AEE">
        <w:rPr>
          <w:rFonts w:ascii="Arial" w:hAnsi="Arial" w:cs="Arial"/>
          <w:sz w:val="20"/>
          <w:szCs w:val="20"/>
          <w:lang w:val="en-US"/>
        </w:rPr>
        <w:t xml:space="preserve"> out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of the primary and public </w:t>
      </w:r>
      <w:r w:rsidR="00621C5C" w:rsidRPr="00BF5AEE">
        <w:rPr>
          <w:rFonts w:ascii="Arial" w:hAnsi="Arial" w:cs="Arial"/>
          <w:sz w:val="20"/>
          <w:szCs w:val="20"/>
          <w:lang w:val="en-US"/>
        </w:rPr>
        <w:t xml:space="preserve">health services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including preparation, </w:t>
      </w:r>
      <w:r w:rsidR="00BF5AEE" w:rsidRPr="00BF5AEE">
        <w:rPr>
          <w:rFonts w:ascii="Arial" w:hAnsi="Arial" w:cs="Arial"/>
          <w:sz w:val="20"/>
          <w:szCs w:val="20"/>
          <w:lang w:val="en-US"/>
        </w:rPr>
        <w:t>implementation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, coordination and assessment of </w:t>
      </w:r>
      <w:proofErr w:type="spellStart"/>
      <w:r w:rsidRPr="00BF5AEE">
        <w:rPr>
          <w:rFonts w:ascii="Arial" w:hAnsi="Arial" w:cs="Arial"/>
          <w:sz w:val="20"/>
          <w:szCs w:val="20"/>
          <w:lang w:val="en-US"/>
        </w:rPr>
        <w:t>programmes</w:t>
      </w:r>
      <w:proofErr w:type="spellEnd"/>
      <w:r w:rsidRPr="00BF5AEE">
        <w:rPr>
          <w:rFonts w:ascii="Arial" w:hAnsi="Arial" w:cs="Arial"/>
          <w:sz w:val="20"/>
          <w:szCs w:val="20"/>
          <w:lang w:val="en-US"/>
        </w:rPr>
        <w:t xml:space="preserve">, plans and activities </w:t>
      </w:r>
      <w:r w:rsidR="004830E2">
        <w:rPr>
          <w:rFonts w:ascii="Arial" w:hAnsi="Arial" w:cs="Arial"/>
          <w:sz w:val="20"/>
          <w:szCs w:val="20"/>
          <w:lang w:val="en-US"/>
        </w:rPr>
        <w:t>across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the country </w:t>
      </w:r>
      <w:r w:rsidR="004830E2">
        <w:rPr>
          <w:rFonts w:ascii="Arial" w:hAnsi="Arial" w:cs="Arial"/>
          <w:sz w:val="20"/>
          <w:szCs w:val="20"/>
          <w:lang w:val="en-US"/>
        </w:rPr>
        <w:t>in order to enhance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public health in </w:t>
      </w:r>
      <w:r w:rsidR="00621C5C" w:rsidRPr="00BF5AEE">
        <w:rPr>
          <w:rFonts w:ascii="Arial" w:hAnsi="Arial" w:cs="Arial"/>
          <w:sz w:val="20"/>
          <w:szCs w:val="20"/>
          <w:lang w:val="en-US"/>
        </w:rPr>
        <w:t>accordance with the national targets</w:t>
      </w:r>
      <w:r w:rsidRPr="00BF5AEE">
        <w:rPr>
          <w:rFonts w:ascii="Arial" w:hAnsi="Arial" w:cs="Arial"/>
          <w:sz w:val="20"/>
          <w:szCs w:val="20"/>
          <w:lang w:val="en-US"/>
        </w:rPr>
        <w:t>.</w:t>
      </w:r>
    </w:p>
    <w:p w14:paraId="5AC6AE6E" w14:textId="6BE33616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In addition to the public health commitment to injury prevention, the consumer policy perspective also provides </w:t>
      </w:r>
      <w:r w:rsidR="008A3A8C" w:rsidRPr="00BF5AEE">
        <w:rPr>
          <w:rFonts w:ascii="Arial" w:hAnsi="Arial" w:cs="Arial"/>
          <w:sz w:val="20"/>
          <w:szCs w:val="20"/>
          <w:lang w:val="en-US"/>
        </w:rPr>
        <w:t>a relevant angle for government-</w:t>
      </w:r>
      <w:r w:rsidRPr="00BF5AEE">
        <w:rPr>
          <w:rFonts w:ascii="Arial" w:hAnsi="Arial" w:cs="Arial"/>
          <w:sz w:val="20"/>
          <w:szCs w:val="20"/>
          <w:lang w:val="en-US"/>
        </w:rPr>
        <w:t>driven interventions</w:t>
      </w:r>
      <w:r w:rsidR="008A3A8C" w:rsidRPr="00BF5AEE">
        <w:rPr>
          <w:rFonts w:ascii="Arial" w:hAnsi="Arial" w:cs="Arial"/>
          <w:sz w:val="20"/>
          <w:szCs w:val="20"/>
          <w:lang w:val="en-US"/>
        </w:rPr>
        <w:t xml:space="preserve"> for protection of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health and safety of citizens. Market surveillance and inspection is an important </w:t>
      </w:r>
      <w:r w:rsidR="008A3A8C" w:rsidRPr="00BF5AEE">
        <w:rPr>
          <w:rFonts w:ascii="Arial" w:hAnsi="Arial" w:cs="Arial"/>
          <w:sz w:val="20"/>
          <w:szCs w:val="20"/>
          <w:lang w:val="en-US"/>
        </w:rPr>
        <w:t>tool for the competent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the market authorities in protecti</w:t>
      </w:r>
      <w:r w:rsidR="008A3A8C" w:rsidRPr="00BF5AEE">
        <w:rPr>
          <w:rFonts w:ascii="Arial" w:hAnsi="Arial" w:cs="Arial"/>
          <w:sz w:val="20"/>
          <w:szCs w:val="20"/>
          <w:lang w:val="en-US"/>
        </w:rPr>
        <w:t>o</w:t>
      </w:r>
      <w:r w:rsidRPr="00BF5AEE">
        <w:rPr>
          <w:rFonts w:ascii="Arial" w:hAnsi="Arial" w:cs="Arial"/>
          <w:sz w:val="20"/>
          <w:szCs w:val="20"/>
          <w:lang w:val="en-US"/>
        </w:rPr>
        <w:t>n</w:t>
      </w:r>
      <w:r w:rsidR="008A3A8C" w:rsidRPr="00BF5AEE">
        <w:rPr>
          <w:rFonts w:ascii="Arial" w:hAnsi="Arial" w:cs="Arial"/>
          <w:sz w:val="20"/>
          <w:szCs w:val="20"/>
          <w:lang w:val="en-US"/>
        </w:rPr>
        <w:t xml:space="preserve"> of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consumers against nonconforming or inherently dangerous consumer products. In Turkey</w:t>
      </w:r>
      <w:r w:rsidR="008A3A8C" w:rsidRPr="00BF5AEE">
        <w:rPr>
          <w:rFonts w:ascii="Arial" w:hAnsi="Arial" w:cs="Arial"/>
          <w:sz w:val="20"/>
          <w:szCs w:val="20"/>
          <w:lang w:val="en-US"/>
        </w:rPr>
        <w:t>,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various </w:t>
      </w:r>
      <w:r w:rsidR="008A3A8C" w:rsidRPr="00BF5AEE">
        <w:rPr>
          <w:rFonts w:ascii="Arial" w:hAnsi="Arial" w:cs="Arial"/>
          <w:sz w:val="20"/>
          <w:szCs w:val="20"/>
          <w:lang w:val="en-US"/>
        </w:rPr>
        <w:t>m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inistries, </w:t>
      </w:r>
      <w:r w:rsidR="008A3A8C" w:rsidRPr="00BF5AEE">
        <w:rPr>
          <w:rFonts w:ascii="Arial" w:hAnsi="Arial" w:cs="Arial"/>
          <w:sz w:val="20"/>
          <w:szCs w:val="20"/>
          <w:lang w:val="en-US"/>
        </w:rPr>
        <w:t>agencies and i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nstitutions are involved in market surveillance activities and are coordinated by the Ministry of Economy. </w:t>
      </w:r>
    </w:p>
    <w:p w14:paraId="131E9B17" w14:textId="7AAA350C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>A National Market Surveillance Stra</w:t>
      </w:r>
      <w:r w:rsidR="00F43B98" w:rsidRPr="00BF5AEE">
        <w:rPr>
          <w:rFonts w:ascii="Arial" w:hAnsi="Arial" w:cs="Arial"/>
          <w:sz w:val="20"/>
          <w:szCs w:val="20"/>
          <w:lang w:val="en-US"/>
        </w:rPr>
        <w:t>tegy Document (2010-2012) was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published by the Ministry of Economy. </w:t>
      </w:r>
      <w:r w:rsidR="004830E2">
        <w:rPr>
          <w:rFonts w:ascii="Arial" w:hAnsi="Arial" w:cs="Arial"/>
          <w:sz w:val="20"/>
          <w:szCs w:val="20"/>
          <w:lang w:val="en-US"/>
        </w:rPr>
        <w:t>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his strategy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document </w:t>
      </w:r>
      <w:r w:rsidRPr="00BF5AEE">
        <w:rPr>
          <w:rFonts w:ascii="Arial" w:hAnsi="Arial" w:cs="Arial"/>
          <w:sz w:val="20"/>
          <w:szCs w:val="20"/>
          <w:lang w:val="en-US"/>
        </w:rPr>
        <w:t>includes the firm c</w:t>
      </w:r>
      <w:r w:rsidR="00F43B98" w:rsidRPr="00BF5AEE">
        <w:rPr>
          <w:rFonts w:ascii="Arial" w:hAnsi="Arial" w:cs="Arial"/>
          <w:sz w:val="20"/>
          <w:szCs w:val="20"/>
          <w:lang w:val="en-US"/>
        </w:rPr>
        <w:t>ommitment of the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G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overnment to establish an injury database, enabling to record injuries and accidents related to consumer products and to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share them with the competent authorities </w:t>
      </w:r>
      <w:r w:rsidR="00BF5AEE" w:rsidRPr="00BF5AEE">
        <w:rPr>
          <w:rFonts w:ascii="Arial" w:hAnsi="Arial" w:cs="Arial"/>
          <w:sz w:val="20"/>
          <w:szCs w:val="20"/>
          <w:lang w:val="en-US"/>
        </w:rPr>
        <w:t>responsible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 for </w:t>
      </w:r>
      <w:r w:rsidRPr="00BF5AEE">
        <w:rPr>
          <w:rFonts w:ascii="Arial" w:hAnsi="Arial" w:cs="Arial"/>
          <w:sz w:val="20"/>
          <w:szCs w:val="20"/>
          <w:lang w:val="en-US"/>
        </w:rPr>
        <w:t>market surveillance and inspection</w:t>
      </w:r>
      <w:r w:rsidR="00E279A4" w:rsidRPr="00BF5AEE">
        <w:rPr>
          <w:rFonts w:ascii="Arial" w:hAnsi="Arial" w:cs="Arial"/>
          <w:sz w:val="20"/>
          <w:szCs w:val="20"/>
          <w:lang w:val="en-US"/>
        </w:rPr>
        <w:t>.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E531149" w14:textId="77777777" w:rsidR="00BF5AEE" w:rsidRPr="000C1B6C" w:rsidRDefault="00BF5AEE" w:rsidP="004830E2">
      <w:pPr>
        <w:pStyle w:val="Geenafstand"/>
        <w:rPr>
          <w:rFonts w:ascii="Arial" w:hAnsi="Arial" w:cs="Arial"/>
          <w:i/>
          <w:color w:val="0000FF"/>
          <w:sz w:val="20"/>
          <w:szCs w:val="20"/>
          <w:lang w:eastAsia="en-GB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eastAsia="en-GB"/>
        </w:rPr>
        <w:t>National IDB-system</w:t>
      </w:r>
    </w:p>
    <w:p w14:paraId="15160B87" w14:textId="6EC20252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The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PHIT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has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under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taken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the operation of the injury data base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and has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initiated the </w:t>
      </w:r>
      <w:r w:rsidRPr="00BF5AEE">
        <w:rPr>
          <w:rFonts w:ascii="Arial" w:hAnsi="Arial" w:cs="Arial"/>
          <w:sz w:val="20"/>
          <w:szCs w:val="20"/>
          <w:lang w:val="en-US"/>
        </w:rPr>
        <w:t>work on enhanced injury monitoring in emergency departments at hospitals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 in cooperation with the </w:t>
      </w:r>
      <w:r w:rsidRPr="00BF5AEE">
        <w:rPr>
          <w:rFonts w:ascii="Arial" w:hAnsi="Arial" w:cs="Arial"/>
          <w:sz w:val="20"/>
          <w:szCs w:val="20"/>
          <w:lang w:val="en-US"/>
        </w:rPr>
        <w:t>Public Hospitals A</w:t>
      </w:r>
      <w:r w:rsidR="00F43B98" w:rsidRPr="00BF5AEE">
        <w:rPr>
          <w:rFonts w:ascii="Arial" w:hAnsi="Arial" w:cs="Arial"/>
          <w:sz w:val="20"/>
          <w:szCs w:val="20"/>
          <w:lang w:val="en-US"/>
        </w:rPr>
        <w:t>gency of Turkey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3213EB4" w14:textId="6B92E262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All relevant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ministries, agencies, institutions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responsible for ensuring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the product safety as well as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academic institutions and NGOs have been informed about the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development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of National Accident and Injury Database. </w:t>
      </w:r>
    </w:p>
    <w:p w14:paraId="1181C71C" w14:textId="23DFF276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National Accident and Injury Database is a web-based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platform</w:t>
      </w:r>
      <w:r w:rsidRPr="00BF5AEE">
        <w:rPr>
          <w:rFonts w:ascii="Arial" w:hAnsi="Arial" w:cs="Arial"/>
          <w:sz w:val="20"/>
          <w:szCs w:val="20"/>
          <w:lang w:val="en-US"/>
        </w:rPr>
        <w:t>.</w:t>
      </w:r>
      <w:r w:rsidR="003E4FFF" w:rsidRPr="00BF5AEE">
        <w:rPr>
          <w:rFonts w:ascii="Arial" w:hAnsi="Arial" w:cs="Arial"/>
          <w:sz w:val="20"/>
          <w:szCs w:val="20"/>
          <w:lang w:val="en-US"/>
        </w:rPr>
        <w:t xml:space="preserve">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In addition to the full dataset of European Injury Database, </w:t>
      </w:r>
      <w:r w:rsidR="00F43B98" w:rsidRPr="00BF5AEE">
        <w:rPr>
          <w:rFonts w:ascii="Arial" w:hAnsi="Arial" w:cs="Arial"/>
          <w:sz w:val="20"/>
          <w:szCs w:val="20"/>
          <w:lang w:val="en-US"/>
        </w:rPr>
        <w:t xml:space="preserve">some extra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variables are included, </w:t>
      </w:r>
      <w:r w:rsidR="00F43B98" w:rsidRPr="00BF5AEE">
        <w:rPr>
          <w:rFonts w:ascii="Arial" w:hAnsi="Arial" w:cs="Arial"/>
          <w:sz w:val="20"/>
          <w:szCs w:val="20"/>
          <w:lang w:val="en-US"/>
        </w:rPr>
        <w:t>i.e</w:t>
      </w:r>
      <w:r w:rsidR="004830E2">
        <w:rPr>
          <w:rFonts w:ascii="Arial" w:hAnsi="Arial" w:cs="Arial"/>
          <w:sz w:val="20"/>
          <w:szCs w:val="20"/>
          <w:lang w:val="en-US"/>
        </w:rPr>
        <w:t>.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level of education of </w:t>
      </w:r>
      <w:r w:rsidRPr="00BF5AEE">
        <w:rPr>
          <w:rFonts w:ascii="Arial" w:hAnsi="Arial" w:cs="Arial"/>
          <w:sz w:val="20"/>
          <w:szCs w:val="20"/>
          <w:lang w:val="en-US"/>
        </w:rPr>
        <w:t>injured pe</w:t>
      </w:r>
      <w:r w:rsidR="00EB79F0" w:rsidRPr="00BF5AEE">
        <w:rPr>
          <w:rFonts w:ascii="Arial" w:hAnsi="Arial" w:cs="Arial"/>
          <w:sz w:val="20"/>
          <w:szCs w:val="20"/>
          <w:lang w:val="en-US"/>
        </w:rPr>
        <w:t>ople, characteristics of products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and possible product failure</w:t>
      </w:r>
      <w:r w:rsidR="00EB79F0" w:rsidRPr="00BF5AEE">
        <w:rPr>
          <w:rFonts w:ascii="Arial" w:hAnsi="Arial" w:cs="Arial"/>
          <w:sz w:val="20"/>
          <w:szCs w:val="20"/>
          <w:lang w:val="en-US"/>
        </w:rPr>
        <w:t>s</w:t>
      </w:r>
      <w:r w:rsidRPr="00BF5AEE">
        <w:rPr>
          <w:rFonts w:ascii="Arial" w:hAnsi="Arial" w:cs="Arial"/>
          <w:sz w:val="20"/>
          <w:szCs w:val="20"/>
          <w:lang w:val="en-US"/>
        </w:rPr>
        <w:t>. The Coding Manual has also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been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updated in accordance with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the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requirements </w:t>
      </w:r>
      <w:r w:rsidR="00EB79F0" w:rsidRPr="00BF5AEE">
        <w:rPr>
          <w:rFonts w:ascii="Arial" w:hAnsi="Arial" w:cs="Arial"/>
          <w:sz w:val="20"/>
          <w:szCs w:val="20"/>
          <w:lang w:val="en-US"/>
        </w:rPr>
        <w:t>laid down by the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institutions responsible for product safety in the country. </w:t>
      </w:r>
    </w:p>
    <w:p w14:paraId="3AC040C2" w14:textId="6AF384A6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The data can be accessed online with the </w:t>
      </w:r>
      <w:r w:rsidR="00EB79F0" w:rsidRPr="00BF5AEE">
        <w:rPr>
          <w:rFonts w:ascii="Arial" w:hAnsi="Arial" w:cs="Arial"/>
          <w:sz w:val="20"/>
          <w:szCs w:val="20"/>
          <w:lang w:val="en-US"/>
        </w:rPr>
        <w:t>user name and password by the authorized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data entry staff. This enables the </w:t>
      </w:r>
      <w:r w:rsidR="00EB79F0" w:rsidRPr="00BF5AEE">
        <w:rPr>
          <w:rFonts w:ascii="Arial" w:hAnsi="Arial" w:cs="Arial"/>
          <w:sz w:val="20"/>
          <w:szCs w:val="20"/>
          <w:lang w:val="en-US"/>
        </w:rPr>
        <w:t>PHIT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to follow up and assess the number of data ent</w:t>
      </w:r>
      <w:r w:rsidR="00EB79F0" w:rsidRPr="00BF5AEE">
        <w:rPr>
          <w:rFonts w:ascii="Arial" w:hAnsi="Arial" w:cs="Arial"/>
          <w:sz w:val="20"/>
          <w:szCs w:val="20"/>
          <w:lang w:val="en-US"/>
        </w:rPr>
        <w:t>e</w:t>
      </w:r>
      <w:r w:rsidRPr="00BF5AEE">
        <w:rPr>
          <w:rFonts w:ascii="Arial" w:hAnsi="Arial" w:cs="Arial"/>
          <w:sz w:val="20"/>
          <w:szCs w:val="20"/>
          <w:lang w:val="en-US"/>
        </w:rPr>
        <w:t>r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ed by the staff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and 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their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individual performances with regard to data quality. </w:t>
      </w:r>
    </w:p>
    <w:p w14:paraId="7C81262B" w14:textId="4EDA36EC" w:rsidR="003065C9" w:rsidRPr="00BF5AEE" w:rsidRDefault="003065C9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>Main quality control points have been integrated into the database. It is designed to warn user when inconsistent data in data</w:t>
      </w:r>
      <w:r w:rsidR="004830E2">
        <w:rPr>
          <w:rFonts w:ascii="Arial" w:hAnsi="Arial" w:cs="Arial"/>
          <w:sz w:val="20"/>
          <w:szCs w:val="20"/>
          <w:lang w:val="en-US"/>
        </w:rPr>
        <w:t xml:space="preserve">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record or blanks in obligatory fields </w:t>
      </w:r>
      <w:r w:rsidR="004830E2">
        <w:rPr>
          <w:rFonts w:ascii="Arial" w:hAnsi="Arial" w:cs="Arial"/>
          <w:sz w:val="20"/>
          <w:szCs w:val="20"/>
          <w:lang w:val="en-US"/>
        </w:rPr>
        <w:t>are being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detected. Data entered into the </w:t>
      </w:r>
      <w:r w:rsidRPr="00BF5AEE">
        <w:rPr>
          <w:rFonts w:ascii="Arial" w:hAnsi="Arial" w:cs="Arial"/>
          <w:sz w:val="20"/>
          <w:szCs w:val="20"/>
          <w:lang w:val="en-US"/>
        </w:rPr>
        <w:lastRenderedPageBreak/>
        <w:t xml:space="preserve">system via web application are stored in a data warehouse of </w:t>
      </w:r>
      <w:r w:rsidR="00EB79F0" w:rsidRPr="00BF5AEE">
        <w:rPr>
          <w:rFonts w:ascii="Arial" w:hAnsi="Arial" w:cs="Arial"/>
          <w:sz w:val="20"/>
          <w:szCs w:val="20"/>
          <w:lang w:val="en-US"/>
        </w:rPr>
        <w:t>the Ministry of Health (</w:t>
      </w:r>
      <w:proofErr w:type="spellStart"/>
      <w:r w:rsidRPr="00BF5AEE">
        <w:rPr>
          <w:rFonts w:ascii="Arial" w:hAnsi="Arial" w:cs="Arial"/>
          <w:sz w:val="20"/>
          <w:szCs w:val="20"/>
          <w:lang w:val="en-US"/>
        </w:rPr>
        <w:t>MoH</w:t>
      </w:r>
      <w:proofErr w:type="spellEnd"/>
      <w:r w:rsidR="00EB79F0" w:rsidRPr="00BF5AEE">
        <w:rPr>
          <w:rFonts w:ascii="Arial" w:hAnsi="Arial" w:cs="Arial"/>
          <w:sz w:val="20"/>
          <w:szCs w:val="20"/>
          <w:lang w:val="en-US"/>
        </w:rPr>
        <w:t>)</w:t>
      </w:r>
      <w:r w:rsidRPr="00BF5AEE">
        <w:rPr>
          <w:rFonts w:ascii="Arial" w:hAnsi="Arial" w:cs="Arial"/>
          <w:sz w:val="20"/>
          <w:szCs w:val="20"/>
          <w:lang w:val="en-US"/>
        </w:rPr>
        <w:t>, ready for instant inquiry. Assessments made with business intelligence applications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are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shared with decision makers.</w:t>
      </w:r>
    </w:p>
    <w:p w14:paraId="2394AAAC" w14:textId="77777777" w:rsidR="004830E2" w:rsidRPr="000C1B6C" w:rsidRDefault="004830E2" w:rsidP="004830E2">
      <w:pPr>
        <w:pStyle w:val="Geenafstand"/>
        <w:rPr>
          <w:rFonts w:ascii="Arial" w:hAnsi="Arial" w:cs="Arial"/>
          <w:i/>
          <w:color w:val="1F497D" w:themeColor="text2"/>
          <w:sz w:val="20"/>
          <w:szCs w:val="20"/>
          <w:lang w:val="lb-LU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eastAsia="en-GB"/>
        </w:rPr>
        <w:t xml:space="preserve">Insights gained </w:t>
      </w:r>
    </w:p>
    <w:p w14:paraId="7FEE4927" w14:textId="784C9363" w:rsidR="009C4082" w:rsidRPr="00BF5AEE" w:rsidRDefault="009C4082" w:rsidP="004830E2">
      <w:pPr>
        <w:spacing w:after="240"/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>In the years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of </w:t>
      </w:r>
      <w:r w:rsidRPr="00BF5AEE">
        <w:rPr>
          <w:rFonts w:ascii="Arial" w:hAnsi="Arial" w:cs="Arial"/>
          <w:sz w:val="20"/>
          <w:szCs w:val="20"/>
          <w:lang w:val="en-US"/>
        </w:rPr>
        <w:t>2012-2014, cases were randomly selected in the emergency departments of 15 hospitals representing the country and data were collec</w:t>
      </w:r>
      <w:r w:rsidR="00EB79F0" w:rsidRPr="00BF5AEE">
        <w:rPr>
          <w:rFonts w:ascii="Arial" w:hAnsi="Arial" w:cs="Arial"/>
          <w:sz w:val="20"/>
          <w:szCs w:val="20"/>
          <w:lang w:val="en-US"/>
        </w:rPr>
        <w:t>ted. In 2015 and 2016, data entry was enlarged to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16 hospitals. 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According to </w:t>
      </w:r>
      <w:r w:rsidR="004830E2">
        <w:rPr>
          <w:rFonts w:ascii="Arial" w:hAnsi="Arial" w:cs="Arial"/>
          <w:sz w:val="20"/>
          <w:szCs w:val="20"/>
          <w:lang w:val="en-US"/>
        </w:rPr>
        <w:t>the analys</w:t>
      </w:r>
      <w:r w:rsidRPr="00BF5AEE">
        <w:rPr>
          <w:rFonts w:ascii="Arial" w:hAnsi="Arial" w:cs="Arial"/>
          <w:sz w:val="20"/>
          <w:szCs w:val="20"/>
          <w:lang w:val="en-US"/>
        </w:rPr>
        <w:t>es,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monitoring of the data by </w:t>
      </w:r>
      <w:r w:rsidRPr="00BF5AEE">
        <w:rPr>
          <w:rFonts w:ascii="Arial" w:hAnsi="Arial" w:cs="Arial"/>
          <w:sz w:val="20"/>
          <w:szCs w:val="20"/>
          <w:lang w:val="en-US"/>
        </w:rPr>
        <w:t>hospital managers</w:t>
      </w:r>
      <w:r w:rsidR="00EB79F0" w:rsidRPr="00BF5AEE">
        <w:rPr>
          <w:rFonts w:ascii="Arial" w:hAnsi="Arial" w:cs="Arial"/>
          <w:sz w:val="20"/>
          <w:szCs w:val="20"/>
          <w:lang w:val="en-US"/>
        </w:rPr>
        <w:t xml:space="preserve">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was found to have a positive effect on data entry and reporting modules were prepared to 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enable </w:t>
      </w:r>
      <w:r w:rsidRPr="00BF5AEE">
        <w:rPr>
          <w:rFonts w:ascii="Arial" w:hAnsi="Arial" w:cs="Arial"/>
          <w:sz w:val="20"/>
          <w:szCs w:val="20"/>
          <w:lang w:val="en-US"/>
        </w:rPr>
        <w:t>monitor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ing of by the manager </w:t>
      </w:r>
      <w:r w:rsidRPr="00BF5AEE">
        <w:rPr>
          <w:rFonts w:ascii="Arial" w:hAnsi="Arial" w:cs="Arial"/>
          <w:sz w:val="20"/>
          <w:szCs w:val="20"/>
          <w:lang w:val="en-US"/>
        </w:rPr>
        <w:t>of each hospital.</w:t>
      </w:r>
    </w:p>
    <w:p w14:paraId="73796097" w14:textId="7FC29FEB" w:rsidR="009C4082" w:rsidRPr="00BF5AEE" w:rsidRDefault="009C4082" w:rsidP="004830E2">
      <w:pPr>
        <w:spacing w:after="240"/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>By the end of 2015, 40,381 data were recorded in the National Accident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F5AEE">
        <w:rPr>
          <w:rFonts w:ascii="Arial" w:hAnsi="Arial" w:cs="Arial"/>
          <w:sz w:val="20"/>
          <w:szCs w:val="20"/>
          <w:lang w:val="en-US"/>
        </w:rPr>
        <w:t>Injur</w:t>
      </w:r>
      <w:r w:rsidR="00E963F4" w:rsidRPr="00BF5AEE">
        <w:rPr>
          <w:rFonts w:ascii="Arial" w:hAnsi="Arial" w:cs="Arial"/>
          <w:sz w:val="20"/>
          <w:szCs w:val="20"/>
          <w:lang w:val="en-US"/>
        </w:rPr>
        <w:t>y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database. In October 2016, 42,654 data were re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corded. The work has been initiated to improve the </w:t>
      </w:r>
      <w:r w:rsidR="004830E2" w:rsidRPr="00BF5AEE">
        <w:rPr>
          <w:rFonts w:ascii="Arial" w:hAnsi="Arial" w:cs="Arial"/>
          <w:sz w:val="20"/>
          <w:szCs w:val="20"/>
          <w:lang w:val="en-US"/>
        </w:rPr>
        <w:t>standards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of data collection and to enable sustainability of work to be finalized by the end of 2017.</w:t>
      </w:r>
    </w:p>
    <w:p w14:paraId="0EAF8653" w14:textId="70682BB1" w:rsidR="00A94325" w:rsidRPr="00BF5AEE" w:rsidRDefault="00A94325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To ensure 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the </w:t>
      </w:r>
      <w:r w:rsidRPr="00BF5AEE">
        <w:rPr>
          <w:rFonts w:ascii="Arial" w:hAnsi="Arial" w:cs="Arial"/>
          <w:sz w:val="20"/>
          <w:szCs w:val="20"/>
          <w:lang w:val="en-US"/>
        </w:rPr>
        <w:t>efficien</w:t>
      </w:r>
      <w:r w:rsidR="00E963F4" w:rsidRPr="00BF5AEE">
        <w:rPr>
          <w:rFonts w:ascii="Arial" w:hAnsi="Arial" w:cs="Arial"/>
          <w:sz w:val="20"/>
          <w:szCs w:val="20"/>
          <w:lang w:val="en-US"/>
        </w:rPr>
        <w:t>cy</w:t>
      </w:r>
      <w:r w:rsidRPr="00BF5AEE">
        <w:rPr>
          <w:rFonts w:ascii="Arial" w:hAnsi="Arial" w:cs="Arial"/>
          <w:sz w:val="20"/>
          <w:szCs w:val="20"/>
          <w:lang w:val="en-US"/>
        </w:rPr>
        <w:t>, priority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is given </w:t>
      </w:r>
      <w:r w:rsidRPr="00BF5AEE">
        <w:rPr>
          <w:rFonts w:ascii="Arial" w:hAnsi="Arial" w:cs="Arial"/>
          <w:sz w:val="20"/>
          <w:szCs w:val="20"/>
          <w:lang w:val="en-US"/>
        </w:rPr>
        <w:t>to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improve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cooperation </w:t>
      </w:r>
      <w:r w:rsidR="004830E2">
        <w:rPr>
          <w:rFonts w:ascii="Arial" w:hAnsi="Arial" w:cs="Arial"/>
          <w:sz w:val="20"/>
          <w:szCs w:val="20"/>
          <w:lang w:val="en-US"/>
        </w:rPr>
        <w:t xml:space="preserve">in prevention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among 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the 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institutions and </w:t>
      </w:r>
      <w:r w:rsidR="00E963F4" w:rsidRPr="00BF5AEE">
        <w:rPr>
          <w:rFonts w:ascii="Arial" w:hAnsi="Arial" w:cs="Arial"/>
          <w:sz w:val="20"/>
          <w:szCs w:val="20"/>
          <w:lang w:val="en-US"/>
        </w:rPr>
        <w:t>to increase the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awareness </w:t>
      </w:r>
      <w:r w:rsidR="004830E2">
        <w:rPr>
          <w:rFonts w:ascii="Arial" w:hAnsi="Arial" w:cs="Arial"/>
          <w:sz w:val="20"/>
          <w:szCs w:val="20"/>
          <w:lang w:val="en-US"/>
        </w:rPr>
        <w:t xml:space="preserve">among citizens 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thereby reduce the number of </w:t>
      </w:r>
      <w:r w:rsidRPr="00BF5AEE">
        <w:rPr>
          <w:rFonts w:ascii="Arial" w:hAnsi="Arial" w:cs="Arial"/>
          <w:sz w:val="20"/>
          <w:szCs w:val="20"/>
          <w:lang w:val="en-US"/>
        </w:rPr>
        <w:t>injuries in the society.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Since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2015,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regular m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eetings with stakeholder organizations </w:t>
      </w:r>
      <w:r w:rsidR="00E963F4" w:rsidRPr="00BF5AEE">
        <w:rPr>
          <w:rFonts w:ascii="Arial" w:hAnsi="Arial" w:cs="Arial"/>
          <w:sz w:val="20"/>
          <w:szCs w:val="20"/>
          <w:lang w:val="en-US"/>
        </w:rPr>
        <w:t>has bee</w:t>
      </w:r>
      <w:r w:rsidRPr="00BF5AEE">
        <w:rPr>
          <w:rFonts w:ascii="Arial" w:hAnsi="Arial" w:cs="Arial"/>
          <w:sz w:val="20"/>
          <w:szCs w:val="20"/>
          <w:lang w:val="en-US"/>
        </w:rPr>
        <w:t>n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 ini</w:t>
      </w:r>
      <w:r w:rsidR="004830E2">
        <w:rPr>
          <w:rFonts w:ascii="Arial" w:hAnsi="Arial" w:cs="Arial"/>
          <w:sz w:val="20"/>
          <w:szCs w:val="20"/>
          <w:lang w:val="en-US"/>
        </w:rPr>
        <w:t>ti</w:t>
      </w:r>
      <w:r w:rsidR="00E963F4" w:rsidRPr="00BF5AEE">
        <w:rPr>
          <w:rFonts w:ascii="Arial" w:hAnsi="Arial" w:cs="Arial"/>
          <w:sz w:val="20"/>
          <w:szCs w:val="20"/>
          <w:lang w:val="en-US"/>
        </w:rPr>
        <w:t xml:space="preserve">ated </w:t>
      </w:r>
      <w:r w:rsidR="004830E2">
        <w:rPr>
          <w:rFonts w:ascii="Arial" w:hAnsi="Arial" w:cs="Arial"/>
          <w:sz w:val="20"/>
          <w:szCs w:val="20"/>
          <w:lang w:val="en-US"/>
        </w:rPr>
        <w:t xml:space="preserve">in order to </w:t>
      </w:r>
      <w:r w:rsidRPr="00BF5AEE">
        <w:rPr>
          <w:rFonts w:ascii="Arial" w:hAnsi="Arial" w:cs="Arial"/>
          <w:sz w:val="20"/>
          <w:szCs w:val="20"/>
          <w:lang w:val="en-US"/>
        </w:rPr>
        <w:t>prepar</w:t>
      </w:r>
      <w:r w:rsidR="004830E2">
        <w:rPr>
          <w:rFonts w:ascii="Arial" w:hAnsi="Arial" w:cs="Arial"/>
          <w:sz w:val="20"/>
          <w:szCs w:val="20"/>
          <w:lang w:val="en-US"/>
        </w:rPr>
        <w:t>e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</w:t>
      </w:r>
      <w:r w:rsidR="004830E2">
        <w:rPr>
          <w:rFonts w:ascii="Arial" w:hAnsi="Arial" w:cs="Arial"/>
          <w:sz w:val="20"/>
          <w:szCs w:val="20"/>
          <w:lang w:val="en-US"/>
        </w:rPr>
        <w:t>and implement</w:t>
      </w:r>
      <w:r w:rsidRPr="00BF5AEE">
        <w:rPr>
          <w:rFonts w:ascii="Arial" w:hAnsi="Arial" w:cs="Arial"/>
          <w:sz w:val="20"/>
          <w:szCs w:val="20"/>
          <w:lang w:val="en-US"/>
        </w:rPr>
        <w:t xml:space="preserve"> accident and injury prevention </w:t>
      </w:r>
      <w:r w:rsidR="004830E2" w:rsidRPr="00BF5AEE">
        <w:rPr>
          <w:rFonts w:ascii="Arial" w:hAnsi="Arial" w:cs="Arial"/>
          <w:sz w:val="20"/>
          <w:szCs w:val="20"/>
          <w:lang w:val="en-US"/>
        </w:rPr>
        <w:t>programs</w:t>
      </w:r>
      <w:r w:rsidRPr="00BF5AEE">
        <w:rPr>
          <w:rFonts w:ascii="Arial" w:hAnsi="Arial" w:cs="Arial"/>
          <w:sz w:val="20"/>
          <w:szCs w:val="20"/>
          <w:lang w:val="en-US"/>
        </w:rPr>
        <w:t>.</w:t>
      </w:r>
    </w:p>
    <w:p w14:paraId="70131554" w14:textId="77777777" w:rsidR="00A94325" w:rsidRPr="00BF5AEE" w:rsidRDefault="00A94325" w:rsidP="004830E2">
      <w:pPr>
        <w:rPr>
          <w:rFonts w:ascii="Arial" w:hAnsi="Arial" w:cs="Arial"/>
          <w:sz w:val="20"/>
          <w:szCs w:val="20"/>
          <w:lang w:val="en-US"/>
        </w:rPr>
      </w:pPr>
      <w:r w:rsidRPr="00BF5AEE">
        <w:rPr>
          <w:rFonts w:ascii="Arial" w:hAnsi="Arial" w:cs="Arial"/>
          <w:sz w:val="20"/>
          <w:szCs w:val="20"/>
          <w:lang w:val="en-US"/>
        </w:rPr>
        <w:t xml:space="preserve">For further information: </w:t>
      </w:r>
    </w:p>
    <w:p w14:paraId="5594C917" w14:textId="272626F0" w:rsidR="00C476BA" w:rsidRPr="00BF5AEE" w:rsidRDefault="00375132" w:rsidP="004830E2">
      <w:pPr>
        <w:rPr>
          <w:rStyle w:val="Hyperlink"/>
          <w:rFonts w:ascii="Arial" w:hAnsi="Arial" w:cs="Arial"/>
          <w:sz w:val="20"/>
          <w:szCs w:val="20"/>
          <w:lang w:val="en-US"/>
        </w:rPr>
      </w:pPr>
      <w:hyperlink r:id="rId6" w:history="1">
        <w:r w:rsidR="00A94325" w:rsidRPr="00BF5AEE">
          <w:rPr>
            <w:rStyle w:val="Hyperlink"/>
            <w:rFonts w:ascii="Arial" w:hAnsi="Arial" w:cs="Arial"/>
            <w:sz w:val="20"/>
            <w:szCs w:val="20"/>
            <w:lang w:val="en-US"/>
          </w:rPr>
          <w:t>banu.ekinci@saglik.gov.tr</w:t>
        </w:r>
      </w:hyperlink>
    </w:p>
    <w:p w14:paraId="40F3E0AD" w14:textId="77777777" w:rsidR="00375132" w:rsidRDefault="00375132" w:rsidP="004830E2">
      <w:pPr>
        <w:rPr>
          <w:rFonts w:ascii="Arial" w:hAnsi="Arial" w:cs="Arial"/>
          <w:i/>
          <w:color w:val="0000FF"/>
          <w:sz w:val="20"/>
          <w:szCs w:val="20"/>
        </w:rPr>
      </w:pPr>
    </w:p>
    <w:p w14:paraId="6171F6D9" w14:textId="66BEF7DE" w:rsidR="00E963F4" w:rsidRPr="00375132" w:rsidRDefault="00E963F4" w:rsidP="004830E2">
      <w:pPr>
        <w:rPr>
          <w:rFonts w:ascii="Arial" w:hAnsi="Arial" w:cs="Arial"/>
          <w:i/>
          <w:color w:val="0000FF"/>
          <w:sz w:val="20"/>
          <w:szCs w:val="20"/>
        </w:rPr>
      </w:pPr>
      <w:bookmarkStart w:id="0" w:name="_GoBack"/>
      <w:bookmarkEnd w:id="0"/>
      <w:r w:rsidRPr="00375132">
        <w:rPr>
          <w:rFonts w:ascii="Arial" w:hAnsi="Arial" w:cs="Arial"/>
          <w:i/>
          <w:color w:val="0000FF"/>
          <w:sz w:val="20"/>
          <w:szCs w:val="20"/>
        </w:rPr>
        <w:t>Related links:</w:t>
      </w:r>
    </w:p>
    <w:p w14:paraId="7D3F4A11" w14:textId="77777777" w:rsidR="00375132" w:rsidRPr="00375132" w:rsidRDefault="00375132" w:rsidP="0037513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7" w:tgtFrame="_blank" w:history="1">
        <w:r w:rsidRPr="00375132">
          <w:rPr>
            <w:rStyle w:val="Hyperlink"/>
            <w:rFonts w:ascii="Arial" w:hAnsi="Arial" w:cs="Arial"/>
            <w:sz w:val="16"/>
            <w:szCs w:val="16"/>
          </w:rPr>
          <w:t>http://kronikhastaliklar.thsk.saglik.gov.tr/daire-faaliyetleri/ukay.html</w:t>
        </w:r>
      </w:hyperlink>
    </w:p>
    <w:p w14:paraId="01C2F4AF" w14:textId="77777777" w:rsidR="00375132" w:rsidRPr="00375132" w:rsidRDefault="00375132" w:rsidP="0037513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8" w:tgtFrame="_blank" w:history="1">
        <w:r w:rsidRPr="00375132">
          <w:rPr>
            <w:rStyle w:val="Hyperlink"/>
            <w:rFonts w:ascii="Arial" w:hAnsi="Arial" w:cs="Arial"/>
            <w:sz w:val="16"/>
            <w:szCs w:val="16"/>
          </w:rPr>
          <w:t>http://kronikhastaliklar.thsk.saglik.gov.tr/daire-faaliyetleri/ukay/1125-ulusal-kaza-ve-yaralanma-bilgi-notu.html</w:t>
        </w:r>
      </w:hyperlink>
    </w:p>
    <w:p w14:paraId="1A8B2B15" w14:textId="77777777" w:rsidR="00375132" w:rsidRPr="00375132" w:rsidRDefault="00375132" w:rsidP="0037513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9" w:tgtFrame="_blank" w:history="1">
        <w:r w:rsidRPr="00375132">
          <w:rPr>
            <w:rStyle w:val="Hyperlink"/>
            <w:rFonts w:ascii="Arial" w:hAnsi="Arial" w:cs="Arial"/>
            <w:sz w:val="16"/>
            <w:szCs w:val="16"/>
          </w:rPr>
          <w:t>http://kronikhastaliklar.thsk.saglik.gov.tr/Dosya/Dokumanlar/ukay/EuropeSafe_Master_R4_SinglePage_12102016.pdf</w:t>
        </w:r>
      </w:hyperlink>
    </w:p>
    <w:p w14:paraId="74154099" w14:textId="77777777" w:rsidR="00375132" w:rsidRPr="00375132" w:rsidRDefault="00375132" w:rsidP="0037513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0" w:tgtFrame="_blank" w:history="1">
        <w:r w:rsidRPr="00375132">
          <w:rPr>
            <w:rStyle w:val="Hyperlink"/>
            <w:rFonts w:ascii="Arial" w:hAnsi="Arial" w:cs="Arial"/>
            <w:sz w:val="16"/>
            <w:szCs w:val="16"/>
          </w:rPr>
          <w:t>http://kronikhastaliklar.thsk.saglik.gov.tr/Dosya/Dokumanlar/ukay/ukay_2012_2014.pdf</w:t>
        </w:r>
      </w:hyperlink>
    </w:p>
    <w:p w14:paraId="061AE90F" w14:textId="77777777" w:rsidR="00E963F4" w:rsidRPr="00BF5AEE" w:rsidRDefault="00E963F4" w:rsidP="004830E2">
      <w:pPr>
        <w:rPr>
          <w:rFonts w:ascii="Arial" w:hAnsi="Arial" w:cs="Arial"/>
          <w:sz w:val="20"/>
          <w:szCs w:val="20"/>
        </w:rPr>
      </w:pPr>
    </w:p>
    <w:p w14:paraId="0261FB2A" w14:textId="77777777" w:rsidR="00A94325" w:rsidRPr="00BF5AEE" w:rsidRDefault="00A94325" w:rsidP="004830E2">
      <w:pPr>
        <w:rPr>
          <w:rFonts w:ascii="Arial" w:hAnsi="Arial" w:cs="Arial"/>
          <w:sz w:val="20"/>
          <w:szCs w:val="20"/>
        </w:rPr>
      </w:pPr>
    </w:p>
    <w:sectPr w:rsidR="00A94325" w:rsidRPr="00BF5AEE" w:rsidSect="004F79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92E4F" w15:done="0"/>
  <w15:commentEx w15:paraId="1ED2778D" w15:done="0"/>
  <w15:commentEx w15:paraId="0B411074" w15:done="0"/>
  <w15:commentEx w15:paraId="5A20D66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cil">
    <w15:presenceInfo w15:providerId="None" w15:userId="sec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C9"/>
    <w:rsid w:val="001867A8"/>
    <w:rsid w:val="00193413"/>
    <w:rsid w:val="001B789F"/>
    <w:rsid w:val="002D3991"/>
    <w:rsid w:val="003065C9"/>
    <w:rsid w:val="00375132"/>
    <w:rsid w:val="003E4FFF"/>
    <w:rsid w:val="004830E2"/>
    <w:rsid w:val="004A79FC"/>
    <w:rsid w:val="004F7965"/>
    <w:rsid w:val="00620193"/>
    <w:rsid w:val="00621C5C"/>
    <w:rsid w:val="00711459"/>
    <w:rsid w:val="008A3A8C"/>
    <w:rsid w:val="008C5972"/>
    <w:rsid w:val="009C4082"/>
    <w:rsid w:val="00A94325"/>
    <w:rsid w:val="00AB1483"/>
    <w:rsid w:val="00B13B51"/>
    <w:rsid w:val="00BA1233"/>
    <w:rsid w:val="00BF5AEE"/>
    <w:rsid w:val="00C476BA"/>
    <w:rsid w:val="00D136C3"/>
    <w:rsid w:val="00DA53CC"/>
    <w:rsid w:val="00E13896"/>
    <w:rsid w:val="00E279A4"/>
    <w:rsid w:val="00E4653B"/>
    <w:rsid w:val="00E963F4"/>
    <w:rsid w:val="00EB79F0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8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653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78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78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78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78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78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89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5AEE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BF5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653B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78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B78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B78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78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78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89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5AEE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BF5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certsure.com/OWA/redir.aspx?C=0uKrg97YTEuOxSEcUQeP3FvjQoSXTtQIuS-DKH_xEJddhQ2spPR1orO-uAMSRRauBgMmPia3kfA.&amp;URL=http%3a%2f%2fkronikhastaliklar.thsk.saglik.gov.tr%2fdaire-faaliyetleri%2fukay%2f1125-ulusal-kaza-ve-yaralanma-bilgi-notu.htm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owa.certsure.com/OWA/redir.aspx?C=0uKrg97YTEuOxSEcUQeP3FvjQoSXTtQIuS-DKH_xEJddhQ2spPR1orO-uAMSRRauBgMmPia3kfA.&amp;URL=http%3a%2f%2fkronikhastaliklar.thsk.saglik.gov.tr%2fdaire-faaliyetleri%2fukay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nu.ekinci@saglik.gov.t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wa.certsure.com/OWA/redir.aspx?C=0uKrg97YTEuOxSEcUQeP3FvjQoSXTtQIuS-DKH_xEJddhQ2spPR1orO-uAMSRRauBgMmPia3kfA.&amp;URL=http%3a%2f%2fkronikhastaliklar.thsk.saglik.gov.tr%2fDosya%2fDokumanlar%2fukay%2fukay_2012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a.certsure.com/OWA/redir.aspx?C=0uKrg97YTEuOxSEcUQeP3FvjQoSXTtQIuS-DKH_xEJddhQ2spPR1orO-uAMSRRauBgMmPia3kfA.&amp;URL=http%3a%2f%2fkronikhastaliklar.thsk.saglik.gov.tr%2fDosya%2fDokumanlar%2fukay%2fEuropeSafe_Master_R4_SinglePage_12102016.pdf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Thsk</dc:creator>
  <cp:lastModifiedBy>rogmans</cp:lastModifiedBy>
  <cp:revision>3</cp:revision>
  <cp:lastPrinted>2017-01-09T15:05:00Z</cp:lastPrinted>
  <dcterms:created xsi:type="dcterms:W3CDTF">2017-01-23T10:25:00Z</dcterms:created>
  <dcterms:modified xsi:type="dcterms:W3CDTF">2017-01-30T14:38:00Z</dcterms:modified>
</cp:coreProperties>
</file>