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15" w:rsidRDefault="004A2115" w:rsidP="004A2115">
      <w:pPr>
        <w:rPr>
          <w:sz w:val="19"/>
          <w:szCs w:val="19"/>
        </w:rPr>
      </w:pPr>
    </w:p>
    <w:p w:rsidR="004A2115" w:rsidRDefault="004A2115" w:rsidP="004A2115">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 xml:space="preserve">Country update on Injury Surveillance: </w:t>
      </w:r>
      <w:r>
        <w:rPr>
          <w:rFonts w:ascii="Arial" w:eastAsia="Times New Roman" w:hAnsi="Arial" w:cs="Arial"/>
          <w:b/>
          <w:color w:val="0000FF"/>
          <w:sz w:val="24"/>
          <w:szCs w:val="24"/>
        </w:rPr>
        <w:t>Porugal</w:t>
      </w:r>
    </w:p>
    <w:p w:rsidR="004A2115" w:rsidRDefault="00EE2327" w:rsidP="004A2115">
      <w:pPr>
        <w:pStyle w:val="Geenafstand"/>
        <w:rPr>
          <w:rFonts w:ascii="Arial" w:eastAsia="Times New Roman" w:hAnsi="Arial" w:cs="Arial"/>
          <w:b/>
          <w:color w:val="0000FF"/>
          <w:sz w:val="24"/>
          <w:szCs w:val="24"/>
        </w:rPr>
      </w:pPr>
      <w:r>
        <w:rPr>
          <w:rFonts w:ascii="Arial" w:eastAsia="Times New Roman" w:hAnsi="Arial" w:cs="Arial"/>
          <w:b/>
          <w:color w:val="0000FF"/>
          <w:sz w:val="24"/>
          <w:szCs w:val="24"/>
          <w:lang w:val="en-GB" w:eastAsia="en-GB"/>
        </w:rPr>
        <w:drawing>
          <wp:inline distT="0" distB="0" distL="0" distR="0">
            <wp:extent cx="5760720" cy="1920240"/>
            <wp:effectExtent l="0" t="0" r="0" b="3810"/>
            <wp:docPr id="4" name="Afbeelding 4" descr="F:\EuroSafe\Lisbon-slide-66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uroSafe\Lisbon-slide-660x2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rsidR="00EE2327" w:rsidRDefault="00EE2327" w:rsidP="004A2115">
      <w:pPr>
        <w:pStyle w:val="Geenafstand"/>
        <w:jc w:val="left"/>
        <w:rPr>
          <w:rFonts w:ascii="Arial" w:hAnsi="Arial" w:cs="Arial"/>
          <w:i/>
          <w:color w:val="0000FF"/>
          <w:sz w:val="20"/>
          <w:szCs w:val="20"/>
          <w:lang w:val="lb-LU"/>
        </w:rPr>
      </w:pPr>
    </w:p>
    <w:p w:rsidR="004A2115" w:rsidRPr="000C1B6C" w:rsidRDefault="004A2115" w:rsidP="004A2115">
      <w:pPr>
        <w:pStyle w:val="Geenafstand"/>
        <w:jc w:val="left"/>
        <w:rPr>
          <w:rFonts w:ascii="Arial" w:hAnsi="Arial" w:cs="Arial"/>
          <w:i/>
          <w:color w:val="0000FF"/>
          <w:sz w:val="20"/>
          <w:szCs w:val="20"/>
          <w:lang w:val="lb-LU"/>
        </w:rPr>
      </w:pPr>
      <w:r w:rsidRPr="000C1B6C">
        <w:rPr>
          <w:rFonts w:ascii="Arial" w:hAnsi="Arial" w:cs="Arial"/>
          <w:i/>
          <w:color w:val="0000FF"/>
          <w:sz w:val="20"/>
          <w:szCs w:val="20"/>
          <w:lang w:val="lb-LU"/>
        </w:rPr>
        <w:t>Introduction</w:t>
      </w:r>
    </w:p>
    <w:p w:rsidR="004A2115" w:rsidRPr="00A16DDF" w:rsidRDefault="004A2115" w:rsidP="004A2115">
      <w:r w:rsidRPr="00A16DDF">
        <w:rPr>
          <w:sz w:val="19"/>
          <w:szCs w:val="19"/>
        </w:rPr>
        <w:t>In Portugal, the National Health Service (NHS) is responsible for providing health care to its te</w:t>
      </w:r>
      <w:r w:rsidR="00EE2327">
        <w:rPr>
          <w:sz w:val="19"/>
          <w:szCs w:val="19"/>
        </w:rPr>
        <w:t>n and a half million population</w:t>
      </w:r>
      <w:r w:rsidRPr="00A16DDF">
        <w:rPr>
          <w:sz w:val="19"/>
          <w:szCs w:val="19"/>
        </w:rPr>
        <w:t>.</w:t>
      </w:r>
      <w:r w:rsidR="00EE2327">
        <w:rPr>
          <w:sz w:val="19"/>
          <w:szCs w:val="19"/>
        </w:rPr>
        <w:t xml:space="preserve"> </w:t>
      </w:r>
      <w:r w:rsidRPr="00A16DDF">
        <w:rPr>
          <w:sz w:val="19"/>
          <w:szCs w:val="19"/>
        </w:rPr>
        <w:t xml:space="preserve"> A growing private and social secto</w:t>
      </w:r>
      <w:r w:rsidR="00EE2327">
        <w:rPr>
          <w:sz w:val="19"/>
          <w:szCs w:val="19"/>
        </w:rPr>
        <w:t>r also provides health services</w:t>
      </w:r>
      <w:r>
        <w:rPr>
          <w:sz w:val="19"/>
          <w:szCs w:val="19"/>
        </w:rPr>
        <w:t xml:space="preserve">. </w:t>
      </w:r>
      <w:r w:rsidRPr="00BB67EA">
        <w:rPr>
          <w:sz w:val="19"/>
          <w:szCs w:val="19"/>
        </w:rPr>
        <w:t xml:space="preserve">In the </w:t>
      </w:r>
      <w:r w:rsidR="00EE2327" w:rsidRPr="00BB67EA">
        <w:rPr>
          <w:sz w:val="19"/>
          <w:szCs w:val="19"/>
        </w:rPr>
        <w:t>Portuguese</w:t>
      </w:r>
      <w:r w:rsidRPr="00BB67EA">
        <w:rPr>
          <w:sz w:val="19"/>
          <w:szCs w:val="19"/>
        </w:rPr>
        <w:t xml:space="preserve"> health care system there are three overlapping systems: the NHS; special public and private insurance schemes for certain professions (health subsystems)</w:t>
      </w:r>
      <w:r w:rsidR="00EE2327">
        <w:rPr>
          <w:sz w:val="19"/>
          <w:szCs w:val="19"/>
        </w:rPr>
        <w:t>;</w:t>
      </w:r>
      <w:r w:rsidRPr="00BB67EA">
        <w:rPr>
          <w:sz w:val="19"/>
          <w:szCs w:val="19"/>
        </w:rPr>
        <w:t xml:space="preserve"> and private voluntary health insurance.</w:t>
      </w:r>
    </w:p>
    <w:p w:rsidR="004A2115" w:rsidRPr="00F536CB" w:rsidRDefault="004A2115" w:rsidP="004A2115"/>
    <w:p w:rsidR="004A2115" w:rsidRDefault="004A2115" w:rsidP="004A2115">
      <w:r w:rsidRPr="00A16DDF">
        <w:rPr>
          <w:sz w:val="19"/>
          <w:szCs w:val="19"/>
        </w:rPr>
        <w:t>Health service planning and regulation largely take place at the central level in the Ministry of Health (</w:t>
      </w:r>
      <w:proofErr w:type="spellStart"/>
      <w:r w:rsidRPr="00A16DDF">
        <w:rPr>
          <w:sz w:val="19"/>
          <w:szCs w:val="19"/>
        </w:rPr>
        <w:t>MoH</w:t>
      </w:r>
      <w:proofErr w:type="spellEnd"/>
      <w:r w:rsidRPr="00A16DDF">
        <w:rPr>
          <w:sz w:val="19"/>
          <w:szCs w:val="19"/>
        </w:rPr>
        <w:t xml:space="preserve">) and its institutions, through its National Health Plan. The management of the NHS is devolved to the </w:t>
      </w:r>
    </w:p>
    <w:p w:rsidR="004A2115" w:rsidRPr="00F536CB" w:rsidRDefault="004A2115" w:rsidP="004A2115">
      <w:r w:rsidRPr="00A16DDF">
        <w:rPr>
          <w:sz w:val="19"/>
          <w:szCs w:val="19"/>
        </w:rPr>
        <w:t>5 health regions</w:t>
      </w:r>
      <w:r w:rsidR="00EE2327">
        <w:rPr>
          <w:sz w:val="19"/>
          <w:szCs w:val="19"/>
        </w:rPr>
        <w:t>: Norte;</w:t>
      </w:r>
      <w:r w:rsidRPr="00A16DDF">
        <w:rPr>
          <w:sz w:val="19"/>
          <w:szCs w:val="19"/>
        </w:rPr>
        <w:t xml:space="preserve"> Centro</w:t>
      </w:r>
      <w:r w:rsidR="00EE2327">
        <w:rPr>
          <w:sz w:val="19"/>
          <w:szCs w:val="19"/>
        </w:rPr>
        <w:t>;</w:t>
      </w:r>
      <w:r w:rsidRPr="00A16DDF">
        <w:rPr>
          <w:sz w:val="19"/>
          <w:szCs w:val="19"/>
        </w:rPr>
        <w:t xml:space="preserve"> </w:t>
      </w:r>
      <w:proofErr w:type="spellStart"/>
      <w:r w:rsidRPr="00A16DDF">
        <w:rPr>
          <w:sz w:val="19"/>
          <w:szCs w:val="19"/>
        </w:rPr>
        <w:t>Lisboa</w:t>
      </w:r>
      <w:proofErr w:type="spellEnd"/>
      <w:r w:rsidRPr="00A16DDF">
        <w:rPr>
          <w:sz w:val="19"/>
          <w:szCs w:val="19"/>
        </w:rPr>
        <w:t xml:space="preserve"> e Vale do </w:t>
      </w:r>
      <w:proofErr w:type="spellStart"/>
      <w:r w:rsidRPr="00A16DDF">
        <w:rPr>
          <w:sz w:val="19"/>
          <w:szCs w:val="19"/>
        </w:rPr>
        <w:t>Tejo</w:t>
      </w:r>
      <w:proofErr w:type="spellEnd"/>
      <w:r w:rsidR="00EE2327">
        <w:rPr>
          <w:sz w:val="19"/>
          <w:szCs w:val="19"/>
        </w:rPr>
        <w:t>;</w:t>
      </w:r>
      <w:r w:rsidRPr="00A16DDF">
        <w:rPr>
          <w:sz w:val="19"/>
          <w:szCs w:val="19"/>
        </w:rPr>
        <w:t xml:space="preserve"> </w:t>
      </w:r>
      <w:proofErr w:type="spellStart"/>
      <w:r w:rsidRPr="00A16DDF">
        <w:rPr>
          <w:sz w:val="19"/>
          <w:szCs w:val="19"/>
        </w:rPr>
        <w:t>Alentejo</w:t>
      </w:r>
      <w:proofErr w:type="spellEnd"/>
      <w:r w:rsidR="00EE2327">
        <w:rPr>
          <w:sz w:val="19"/>
          <w:szCs w:val="19"/>
        </w:rPr>
        <w:t>;</w:t>
      </w:r>
      <w:r w:rsidRPr="00A16DDF">
        <w:rPr>
          <w:sz w:val="19"/>
          <w:szCs w:val="19"/>
        </w:rPr>
        <w:t xml:space="preserve"> and Algarve. In the 2 autonomous regions, A</w:t>
      </w:r>
      <w:r w:rsidRPr="00F536CB">
        <w:rPr>
          <w:sz w:val="19"/>
          <w:szCs w:val="19"/>
        </w:rPr>
        <w:t>z</w:t>
      </w:r>
      <w:r w:rsidRPr="00A16DDF">
        <w:rPr>
          <w:sz w:val="19"/>
          <w:szCs w:val="19"/>
        </w:rPr>
        <w:t>ores and Madeira, regional secretaries of the regional government are responsible for health care and planning and evaluation of health</w:t>
      </w:r>
      <w:r w:rsidRPr="00F536CB">
        <w:rPr>
          <w:color w:val="00B0F0"/>
          <w:sz w:val="19"/>
          <w:szCs w:val="19"/>
        </w:rPr>
        <w:t xml:space="preserve">. </w:t>
      </w:r>
      <w:r w:rsidR="00EE2327">
        <w:rPr>
          <w:sz w:val="19"/>
          <w:szCs w:val="19"/>
        </w:rPr>
        <w:t>In these</w:t>
      </w:r>
      <w:r w:rsidRPr="001C6FD7">
        <w:rPr>
          <w:sz w:val="19"/>
          <w:szCs w:val="19"/>
        </w:rPr>
        <w:t xml:space="preserve"> autonomous regions health policy followed the general constitutional principles of the NHS, however it is applied locally by the regional governments</w:t>
      </w:r>
      <w:r w:rsidR="00EE2327">
        <w:rPr>
          <w:sz w:val="19"/>
          <w:szCs w:val="19"/>
        </w:rPr>
        <w:t xml:space="preserve"> who</w:t>
      </w:r>
      <w:r w:rsidRPr="001C6FD7">
        <w:rPr>
          <w:sz w:val="19"/>
          <w:szCs w:val="19"/>
        </w:rPr>
        <w:t xml:space="preserve"> ha</w:t>
      </w:r>
      <w:r w:rsidR="00EE2327">
        <w:rPr>
          <w:sz w:val="19"/>
          <w:szCs w:val="19"/>
        </w:rPr>
        <w:t>ve</w:t>
      </w:r>
      <w:r w:rsidRPr="001C6FD7">
        <w:rPr>
          <w:sz w:val="19"/>
          <w:szCs w:val="19"/>
        </w:rPr>
        <w:t xml:space="preserve"> some flexibility.</w:t>
      </w:r>
    </w:p>
    <w:p w:rsidR="004A2115" w:rsidRPr="00F536CB" w:rsidRDefault="004A2115" w:rsidP="004A2115"/>
    <w:p w:rsidR="00094DD9" w:rsidRDefault="004A2115">
      <w:pPr>
        <w:rPr>
          <w:sz w:val="19"/>
          <w:szCs w:val="19"/>
        </w:rPr>
      </w:pPr>
      <w:r w:rsidRPr="00CC7D83">
        <w:rPr>
          <w:sz w:val="19"/>
          <w:szCs w:val="19"/>
        </w:rPr>
        <w:t xml:space="preserve">Primary care </w:t>
      </w:r>
      <w:r w:rsidR="00EE2327" w:rsidRPr="00CC7D83">
        <w:rPr>
          <w:sz w:val="19"/>
          <w:szCs w:val="19"/>
        </w:rPr>
        <w:t>centers</w:t>
      </w:r>
      <w:r w:rsidRPr="00CC7D83">
        <w:rPr>
          <w:sz w:val="19"/>
          <w:szCs w:val="19"/>
        </w:rPr>
        <w:t xml:space="preserve"> </w:t>
      </w:r>
      <w:r w:rsidR="00EE2327">
        <w:rPr>
          <w:sz w:val="19"/>
          <w:szCs w:val="19"/>
        </w:rPr>
        <w:t>are</w:t>
      </w:r>
      <w:r w:rsidRPr="00CC7D83">
        <w:rPr>
          <w:sz w:val="19"/>
          <w:szCs w:val="19"/>
        </w:rPr>
        <w:t xml:space="preserve"> the central pillar </w:t>
      </w:r>
      <w:r w:rsidR="00EE2327">
        <w:rPr>
          <w:sz w:val="19"/>
          <w:szCs w:val="19"/>
        </w:rPr>
        <w:t>in</w:t>
      </w:r>
      <w:r w:rsidRPr="00CC7D83">
        <w:rPr>
          <w:sz w:val="19"/>
          <w:szCs w:val="19"/>
        </w:rPr>
        <w:t xml:space="preserve"> the health system</w:t>
      </w:r>
      <w:r w:rsidR="00094DD9">
        <w:rPr>
          <w:sz w:val="19"/>
          <w:szCs w:val="19"/>
        </w:rPr>
        <w:t xml:space="preserve"> carrying an</w:t>
      </w:r>
      <w:r w:rsidRPr="00CC7D83">
        <w:rPr>
          <w:sz w:val="19"/>
          <w:szCs w:val="19"/>
        </w:rPr>
        <w:t xml:space="preserve"> important role in health promotion, prevention and care of the disease, continuity of care and </w:t>
      </w:r>
      <w:r w:rsidR="00094DD9">
        <w:rPr>
          <w:sz w:val="19"/>
          <w:szCs w:val="19"/>
        </w:rPr>
        <w:t>collaboration  with other health services</w:t>
      </w:r>
      <w:r w:rsidRPr="00CC7D83">
        <w:rPr>
          <w:sz w:val="19"/>
          <w:szCs w:val="19"/>
        </w:rPr>
        <w:t>.</w:t>
      </w:r>
      <w:r w:rsidR="00094DD9">
        <w:rPr>
          <w:sz w:val="19"/>
          <w:szCs w:val="19"/>
        </w:rPr>
        <w:t xml:space="preserve"> </w:t>
      </w:r>
      <w:r w:rsidRPr="00A16DDF">
        <w:rPr>
          <w:sz w:val="19"/>
          <w:szCs w:val="19"/>
        </w:rPr>
        <w:t>The administrat</w:t>
      </w:r>
      <w:r w:rsidR="00094DD9">
        <w:rPr>
          <w:sz w:val="19"/>
          <w:szCs w:val="19"/>
        </w:rPr>
        <w:t>ive</w:t>
      </w:r>
      <w:r w:rsidRPr="00A16DDF">
        <w:rPr>
          <w:sz w:val="19"/>
          <w:szCs w:val="19"/>
        </w:rPr>
        <w:t xml:space="preserve"> board</w:t>
      </w:r>
      <w:r w:rsidR="00094DD9">
        <w:rPr>
          <w:sz w:val="19"/>
          <w:szCs w:val="19"/>
        </w:rPr>
        <w:t>s</w:t>
      </w:r>
      <w:r w:rsidRPr="00A16DDF">
        <w:rPr>
          <w:sz w:val="19"/>
          <w:szCs w:val="19"/>
        </w:rPr>
        <w:t xml:space="preserve"> of each of the 5 mainland health regions </w:t>
      </w:r>
      <w:r w:rsidR="00094DD9">
        <w:rPr>
          <w:sz w:val="19"/>
          <w:szCs w:val="19"/>
        </w:rPr>
        <w:t xml:space="preserve">are </w:t>
      </w:r>
      <w:r w:rsidRPr="00A16DDF">
        <w:rPr>
          <w:sz w:val="19"/>
          <w:szCs w:val="19"/>
        </w:rPr>
        <w:t xml:space="preserve">accountable to the </w:t>
      </w:r>
      <w:proofErr w:type="spellStart"/>
      <w:r w:rsidRPr="00A16DDF">
        <w:rPr>
          <w:sz w:val="19"/>
          <w:szCs w:val="19"/>
        </w:rPr>
        <w:t>MoH</w:t>
      </w:r>
      <w:proofErr w:type="spellEnd"/>
      <w:r w:rsidR="00094DD9">
        <w:rPr>
          <w:sz w:val="19"/>
          <w:szCs w:val="19"/>
        </w:rPr>
        <w:t xml:space="preserve"> </w:t>
      </w:r>
      <w:r w:rsidRPr="00A16DDF">
        <w:rPr>
          <w:sz w:val="19"/>
          <w:szCs w:val="19"/>
        </w:rPr>
        <w:t xml:space="preserve">and </w:t>
      </w:r>
      <w:r w:rsidR="00094DD9">
        <w:rPr>
          <w:sz w:val="19"/>
          <w:szCs w:val="19"/>
        </w:rPr>
        <w:t>are</w:t>
      </w:r>
      <w:r w:rsidRPr="00A16DDF">
        <w:rPr>
          <w:sz w:val="19"/>
          <w:szCs w:val="19"/>
        </w:rPr>
        <w:t xml:space="preserve"> responsible for strategic management of population health, supervision and control of hospitals, management of primary care/NHS primary care </w:t>
      </w:r>
      <w:r w:rsidR="00094DD9" w:rsidRPr="00A16DDF">
        <w:rPr>
          <w:sz w:val="19"/>
          <w:szCs w:val="19"/>
        </w:rPr>
        <w:t>centers</w:t>
      </w:r>
      <w:r w:rsidRPr="00A16DDF">
        <w:rPr>
          <w:sz w:val="19"/>
          <w:szCs w:val="19"/>
        </w:rPr>
        <w:t xml:space="preserve">, and implementation of national health policies taking into account regional needs. </w:t>
      </w:r>
      <w:r w:rsidR="00094DD9">
        <w:rPr>
          <w:sz w:val="19"/>
          <w:szCs w:val="19"/>
        </w:rPr>
        <w:t xml:space="preserve"> </w:t>
      </w:r>
      <w:r w:rsidRPr="00A16DDF">
        <w:rPr>
          <w:sz w:val="19"/>
          <w:szCs w:val="19"/>
        </w:rPr>
        <w:t xml:space="preserve">The NHS operates the </w:t>
      </w:r>
      <w:r w:rsidRPr="00F536CB">
        <w:rPr>
          <w:sz w:val="19"/>
          <w:szCs w:val="19"/>
        </w:rPr>
        <w:t>65</w:t>
      </w:r>
      <w:r w:rsidRPr="00A16DDF">
        <w:rPr>
          <w:sz w:val="19"/>
          <w:szCs w:val="19"/>
        </w:rPr>
        <w:t xml:space="preserve"> hospitals that have an Emergency Department</w:t>
      </w:r>
      <w:r>
        <w:rPr>
          <w:sz w:val="19"/>
          <w:szCs w:val="19"/>
        </w:rPr>
        <w:t xml:space="preserve"> </w:t>
      </w:r>
      <w:r w:rsidRPr="00A16DDF">
        <w:rPr>
          <w:sz w:val="19"/>
          <w:szCs w:val="19"/>
        </w:rPr>
        <w:t>(ED).</w:t>
      </w:r>
    </w:p>
    <w:p w:rsidR="00094DD9" w:rsidRDefault="00094DD9">
      <w:pPr>
        <w:rPr>
          <w:sz w:val="19"/>
          <w:szCs w:val="19"/>
        </w:rPr>
      </w:pPr>
    </w:p>
    <w:p w:rsidR="00094DD9" w:rsidRDefault="004A2115" w:rsidP="004A2115">
      <w:pPr>
        <w:rPr>
          <w:sz w:val="19"/>
          <w:szCs w:val="19"/>
        </w:rPr>
      </w:pPr>
      <w:r w:rsidRPr="00A16DDF">
        <w:rPr>
          <w:sz w:val="19"/>
          <w:szCs w:val="19"/>
        </w:rPr>
        <w:t xml:space="preserve">Injury awareness </w:t>
      </w:r>
      <w:r w:rsidR="00094DD9">
        <w:rPr>
          <w:sz w:val="19"/>
          <w:szCs w:val="19"/>
        </w:rPr>
        <w:t>among</w:t>
      </w:r>
      <w:r w:rsidRPr="00A16DDF">
        <w:rPr>
          <w:sz w:val="19"/>
          <w:szCs w:val="19"/>
        </w:rPr>
        <w:t xml:space="preserve"> public health care providers has been reinforced by</w:t>
      </w:r>
      <w:r w:rsidR="00094DD9">
        <w:rPr>
          <w:sz w:val="19"/>
          <w:szCs w:val="19"/>
        </w:rPr>
        <w:t xml:space="preserve"> </w:t>
      </w:r>
      <w:r>
        <w:rPr>
          <w:sz w:val="19"/>
          <w:szCs w:val="19"/>
        </w:rPr>
        <w:t xml:space="preserve">the adoption of the National </w:t>
      </w:r>
      <w:proofErr w:type="spellStart"/>
      <w:r>
        <w:rPr>
          <w:sz w:val="19"/>
          <w:szCs w:val="19"/>
        </w:rPr>
        <w:t>Programme</w:t>
      </w:r>
      <w:proofErr w:type="spellEnd"/>
      <w:r>
        <w:rPr>
          <w:sz w:val="19"/>
          <w:szCs w:val="19"/>
        </w:rPr>
        <w:t xml:space="preserve"> of </w:t>
      </w:r>
      <w:r w:rsidRPr="00A16DDF">
        <w:rPr>
          <w:sz w:val="19"/>
          <w:szCs w:val="19"/>
        </w:rPr>
        <w:t xml:space="preserve">Prevention of Injuries 2009-2016, now under review for extension until  2020. This </w:t>
      </w:r>
      <w:proofErr w:type="spellStart"/>
      <w:r w:rsidRPr="00A16DDF">
        <w:rPr>
          <w:sz w:val="19"/>
          <w:szCs w:val="19"/>
        </w:rPr>
        <w:t>programme</w:t>
      </w:r>
      <w:proofErr w:type="spellEnd"/>
      <w:r w:rsidRPr="00A16DDF">
        <w:rPr>
          <w:sz w:val="19"/>
          <w:szCs w:val="19"/>
        </w:rPr>
        <w:t xml:space="preserve"> aims to reduce the frequency of injuries and their impact on the general population and specially on vul</w:t>
      </w:r>
      <w:r>
        <w:rPr>
          <w:sz w:val="19"/>
          <w:szCs w:val="19"/>
        </w:rPr>
        <w:t>nerable groups as well as to en</w:t>
      </w:r>
      <w:r w:rsidRPr="00A16DDF">
        <w:rPr>
          <w:sz w:val="19"/>
          <w:szCs w:val="19"/>
        </w:rPr>
        <w:t xml:space="preserve">sure equitable access of injured persons to health care. It also highlights the need to collect, </w:t>
      </w:r>
      <w:proofErr w:type="spellStart"/>
      <w:r w:rsidRPr="00A16DDF">
        <w:rPr>
          <w:sz w:val="19"/>
          <w:szCs w:val="19"/>
        </w:rPr>
        <w:t>analyse</w:t>
      </w:r>
      <w:proofErr w:type="spellEnd"/>
      <w:r w:rsidRPr="00A16DDF">
        <w:rPr>
          <w:sz w:val="19"/>
          <w:szCs w:val="19"/>
        </w:rPr>
        <w:t xml:space="preserve"> and disseminate information on unintentional injuries through an integrated system of information. </w:t>
      </w:r>
    </w:p>
    <w:p w:rsidR="00094DD9" w:rsidRDefault="00094DD9" w:rsidP="004A2115">
      <w:pPr>
        <w:rPr>
          <w:sz w:val="19"/>
          <w:szCs w:val="19"/>
        </w:rPr>
      </w:pPr>
    </w:p>
    <w:p w:rsidR="004A2115" w:rsidRPr="00A16DDF" w:rsidRDefault="004A2115" w:rsidP="004A2115">
      <w:r w:rsidRPr="00A16DDF">
        <w:rPr>
          <w:sz w:val="19"/>
          <w:szCs w:val="19"/>
        </w:rPr>
        <w:t>Results from the last Census in 201</w:t>
      </w:r>
      <w:r w:rsidR="00094DD9">
        <w:rPr>
          <w:sz w:val="19"/>
          <w:szCs w:val="19"/>
        </w:rPr>
        <w:t>1 indicate that 15% of the popu</w:t>
      </w:r>
      <w:r w:rsidRPr="00A16DDF">
        <w:rPr>
          <w:sz w:val="19"/>
          <w:szCs w:val="19"/>
        </w:rPr>
        <w:t>lation in Portugal belongs to the age group 0- 14 years and about 19% is 65 years or over, while in 2001 these proportions were 16% and 16,5% respectively. This trend is expected to continue and certainly will have an impact on the annual number of injuries.</w:t>
      </w:r>
    </w:p>
    <w:p w:rsidR="004A2115" w:rsidRPr="00F536CB" w:rsidRDefault="004A2115" w:rsidP="004A2115">
      <w:pPr>
        <w:rPr>
          <w:sz w:val="19"/>
        </w:rPr>
      </w:pPr>
    </w:p>
    <w:p w:rsidR="004A2115" w:rsidRPr="000C1B6C" w:rsidRDefault="004A2115" w:rsidP="004A2115">
      <w:pPr>
        <w:pStyle w:val="Geenafstand"/>
        <w:jc w:val="left"/>
        <w:rPr>
          <w:rFonts w:ascii="Arial" w:hAnsi="Arial" w:cs="Arial"/>
          <w:i/>
          <w:color w:val="0000FF"/>
          <w:sz w:val="20"/>
          <w:szCs w:val="20"/>
          <w:lang w:eastAsia="en-GB"/>
        </w:rPr>
      </w:pPr>
      <w:r w:rsidRPr="000C1B6C">
        <w:rPr>
          <w:rFonts w:ascii="Arial" w:hAnsi="Arial" w:cs="Arial"/>
          <w:i/>
          <w:color w:val="0000FF"/>
          <w:sz w:val="20"/>
          <w:szCs w:val="20"/>
          <w:lang w:eastAsia="en-GB"/>
        </w:rPr>
        <w:t>National IDB-system</w:t>
      </w:r>
    </w:p>
    <w:p w:rsidR="004A2115" w:rsidRPr="00A16DDF" w:rsidRDefault="004A2115" w:rsidP="004A2115">
      <w:r w:rsidRPr="00A16DDF">
        <w:rPr>
          <w:sz w:val="19"/>
          <w:szCs w:val="19"/>
        </w:rPr>
        <w:t xml:space="preserve">Since 1986, Portugal participates in EC projects for collecting injury related  data from Emergency Departments in a sample of public hospitals. These studies were coordinated by the national Consumer Safety Department. After the end of the </w:t>
      </w:r>
      <w:r w:rsidR="00094DD9">
        <w:rPr>
          <w:sz w:val="19"/>
          <w:szCs w:val="19"/>
        </w:rPr>
        <w:t xml:space="preserve">EC-sponsored </w:t>
      </w:r>
      <w:r w:rsidRPr="00A16DDF">
        <w:rPr>
          <w:sz w:val="19"/>
          <w:szCs w:val="19"/>
        </w:rPr>
        <w:t xml:space="preserve">consumer injury data collection </w:t>
      </w:r>
      <w:proofErr w:type="spellStart"/>
      <w:r w:rsidRPr="00A16DDF">
        <w:rPr>
          <w:sz w:val="19"/>
          <w:szCs w:val="19"/>
        </w:rPr>
        <w:t>programme</w:t>
      </w:r>
      <w:proofErr w:type="spellEnd"/>
      <w:r w:rsidRPr="00A16DDF">
        <w:rPr>
          <w:sz w:val="19"/>
          <w:szCs w:val="19"/>
        </w:rPr>
        <w:t xml:space="preserve"> in the late 90’s, the Ministry of Health took over the coordination of the injury surveillance system EVITA in 2002. EVITA is now managed by the Portugal National Institute of Health </w:t>
      </w:r>
      <w:proofErr w:type="spellStart"/>
      <w:r w:rsidRPr="00A16DDF">
        <w:rPr>
          <w:sz w:val="19"/>
          <w:szCs w:val="19"/>
        </w:rPr>
        <w:t>Doutor</w:t>
      </w:r>
      <w:proofErr w:type="spellEnd"/>
      <w:r w:rsidRPr="00A16DDF">
        <w:rPr>
          <w:sz w:val="19"/>
          <w:szCs w:val="19"/>
        </w:rPr>
        <w:t xml:space="preserve"> Ricardo Jorge – INSA and is based on routine data collection on home and leisure accidents (HLA) in a sample of emergency health units of the NHS.</w:t>
      </w:r>
    </w:p>
    <w:p w:rsidR="004A2115" w:rsidRPr="00F536CB" w:rsidRDefault="004A2115" w:rsidP="004A2115">
      <w:pPr>
        <w:rPr>
          <w:sz w:val="19"/>
        </w:rPr>
      </w:pPr>
    </w:p>
    <w:p w:rsidR="004A2115" w:rsidRPr="00A16DDF" w:rsidRDefault="004A2115" w:rsidP="004A2115">
      <w:r w:rsidRPr="00A16DDF">
        <w:rPr>
          <w:sz w:val="19"/>
          <w:szCs w:val="19"/>
        </w:rPr>
        <w:t>The main objectives of the system EVITA are to detect:</w:t>
      </w:r>
    </w:p>
    <w:p w:rsidR="004A2115" w:rsidRPr="00F536CB" w:rsidRDefault="004A2115" w:rsidP="004A2115">
      <w:pPr>
        <w:pStyle w:val="Lijstalinea"/>
        <w:numPr>
          <w:ilvl w:val="0"/>
          <w:numId w:val="1"/>
        </w:numPr>
        <w:rPr>
          <w:sz w:val="19"/>
          <w:szCs w:val="19"/>
        </w:rPr>
      </w:pPr>
      <w:r w:rsidRPr="00F536CB">
        <w:rPr>
          <w:sz w:val="19"/>
          <w:szCs w:val="19"/>
        </w:rPr>
        <w:t>Short-term trends: identify the frequency of HLA in general and the various types of injuries, as well as the characteristics of victims and the circumstances of injury events;</w:t>
      </w:r>
    </w:p>
    <w:p w:rsidR="004A2115" w:rsidRPr="00F536CB" w:rsidRDefault="004A2115" w:rsidP="004A2115">
      <w:pPr>
        <w:pStyle w:val="Lijstalinea"/>
        <w:numPr>
          <w:ilvl w:val="0"/>
          <w:numId w:val="1"/>
        </w:numPr>
        <w:rPr>
          <w:sz w:val="19"/>
          <w:szCs w:val="19"/>
        </w:rPr>
      </w:pPr>
      <w:r w:rsidRPr="00F536CB">
        <w:rPr>
          <w:sz w:val="19"/>
          <w:szCs w:val="19"/>
        </w:rPr>
        <w:lastRenderedPageBreak/>
        <w:t>Long-term trends: identify risk-prone situations, establishing a support base for developing and refining consumer protection regulations and enforcement based on evidence. Disseminate information and stimulate research.</w:t>
      </w:r>
    </w:p>
    <w:p w:rsidR="004A2115" w:rsidRPr="00A16DDF" w:rsidRDefault="004A2115" w:rsidP="004A2115"/>
    <w:p w:rsidR="004A2115" w:rsidRPr="00A16DDF" w:rsidRDefault="004A2115" w:rsidP="004A2115">
      <w:r w:rsidRPr="00A16DDF">
        <w:rPr>
          <w:sz w:val="19"/>
          <w:szCs w:val="19"/>
        </w:rPr>
        <w:t xml:space="preserve">Module EVITA consists of a dialog box, and collects information on the accident </w:t>
      </w:r>
      <w:r w:rsidR="00094DD9">
        <w:rPr>
          <w:sz w:val="19"/>
          <w:szCs w:val="19"/>
        </w:rPr>
        <w:t xml:space="preserve">event </w:t>
      </w:r>
      <w:r w:rsidRPr="00A16DDF">
        <w:rPr>
          <w:sz w:val="19"/>
          <w:szCs w:val="19"/>
        </w:rPr>
        <w:t>and its circumstances, as well as characteristics of the injury. The following fields are available in this module:</w:t>
      </w:r>
    </w:p>
    <w:p w:rsidR="004A2115" w:rsidRPr="00F536CB" w:rsidRDefault="004A2115" w:rsidP="004A2115">
      <w:pPr>
        <w:ind w:left="2694"/>
        <w:rPr>
          <w:sz w:val="19"/>
        </w:rPr>
      </w:pPr>
    </w:p>
    <w:p w:rsidR="004A2115" w:rsidRPr="00094DD9" w:rsidRDefault="004A2115" w:rsidP="00094DD9">
      <w:pPr>
        <w:pStyle w:val="Lijstalinea"/>
        <w:numPr>
          <w:ilvl w:val="0"/>
          <w:numId w:val="6"/>
        </w:numPr>
        <w:jc w:val="both"/>
        <w:rPr>
          <w:sz w:val="19"/>
          <w:szCs w:val="19"/>
        </w:rPr>
      </w:pPr>
      <w:r w:rsidRPr="00094DD9">
        <w:rPr>
          <w:sz w:val="19"/>
          <w:szCs w:val="19"/>
        </w:rPr>
        <w:t>Sex and Date of birth of the victim;</w:t>
      </w:r>
    </w:p>
    <w:p w:rsidR="004A2115" w:rsidRPr="00094DD9" w:rsidRDefault="004A2115" w:rsidP="00094DD9">
      <w:pPr>
        <w:pStyle w:val="Lijstalinea"/>
        <w:numPr>
          <w:ilvl w:val="0"/>
          <w:numId w:val="6"/>
        </w:numPr>
        <w:jc w:val="both"/>
        <w:rPr>
          <w:sz w:val="19"/>
          <w:szCs w:val="19"/>
        </w:rPr>
      </w:pPr>
      <w:r w:rsidRPr="00094DD9">
        <w:rPr>
          <w:sz w:val="19"/>
          <w:szCs w:val="19"/>
        </w:rPr>
        <w:t>Date and time of care in the emergency room;</w:t>
      </w:r>
    </w:p>
    <w:p w:rsidR="004A2115" w:rsidRPr="00F536CB" w:rsidRDefault="004A2115" w:rsidP="00094DD9">
      <w:pPr>
        <w:pStyle w:val="Lijstalinea"/>
        <w:numPr>
          <w:ilvl w:val="0"/>
          <w:numId w:val="6"/>
        </w:numPr>
        <w:jc w:val="both"/>
      </w:pPr>
      <w:r w:rsidRPr="00094DD9">
        <w:rPr>
          <w:sz w:val="19"/>
          <w:szCs w:val="19"/>
        </w:rPr>
        <w:t>Date and time of injury;</w:t>
      </w:r>
    </w:p>
    <w:p w:rsidR="00094DD9" w:rsidRPr="00094DD9" w:rsidRDefault="004A2115" w:rsidP="00094DD9">
      <w:pPr>
        <w:pStyle w:val="Lijstalinea"/>
        <w:numPr>
          <w:ilvl w:val="0"/>
          <w:numId w:val="6"/>
        </w:numPr>
        <w:jc w:val="both"/>
      </w:pPr>
      <w:r w:rsidRPr="00094DD9">
        <w:rPr>
          <w:sz w:val="19"/>
          <w:szCs w:val="19"/>
        </w:rPr>
        <w:t>Location and activity of the injury and</w:t>
      </w:r>
      <w:r w:rsidR="00094DD9" w:rsidRPr="00094DD9">
        <w:rPr>
          <w:sz w:val="19"/>
          <w:szCs w:val="19"/>
        </w:rPr>
        <w:t xml:space="preserve"> </w:t>
      </w:r>
    </w:p>
    <w:p w:rsidR="004A2115" w:rsidRPr="00F536CB" w:rsidRDefault="004A2115" w:rsidP="00094DD9">
      <w:pPr>
        <w:pStyle w:val="Lijstalinea"/>
        <w:numPr>
          <w:ilvl w:val="0"/>
          <w:numId w:val="6"/>
        </w:numPr>
        <w:jc w:val="both"/>
      </w:pPr>
      <w:r w:rsidRPr="00094DD9">
        <w:rPr>
          <w:sz w:val="19"/>
          <w:szCs w:val="19"/>
        </w:rPr>
        <w:t>Mechanism &amp; Part of body injured.</w:t>
      </w:r>
    </w:p>
    <w:p w:rsidR="00CB2AE5" w:rsidRDefault="00CB2AE5" w:rsidP="00CB2AE5">
      <w:pPr>
        <w:rPr>
          <w:sz w:val="19"/>
          <w:szCs w:val="19"/>
        </w:rPr>
      </w:pPr>
    </w:p>
    <w:p w:rsidR="00CB2AE5" w:rsidRPr="00AF3C6E" w:rsidRDefault="00CB2AE5" w:rsidP="00CB2AE5">
      <w:r w:rsidRPr="00CB2AE5">
        <w:rPr>
          <w:sz w:val="19"/>
          <w:szCs w:val="19"/>
        </w:rPr>
        <w:t xml:space="preserve">The recording of data is supported by a modular software application, Module EVITA, which runs within the SINUS- and SONHO-programs of </w:t>
      </w:r>
      <w:proofErr w:type="spellStart"/>
      <w:r w:rsidRPr="00CB2AE5">
        <w:rPr>
          <w:sz w:val="19"/>
          <w:szCs w:val="19"/>
        </w:rPr>
        <w:t>MoH</w:t>
      </w:r>
      <w:proofErr w:type="spellEnd"/>
      <w:r w:rsidRPr="00CB2AE5">
        <w:rPr>
          <w:sz w:val="19"/>
          <w:szCs w:val="19"/>
        </w:rPr>
        <w:t>. Data capture is done by the health service receptionist at the time of registration of the patient, in accordance with instructions provided by INSA.</w:t>
      </w:r>
    </w:p>
    <w:p w:rsidR="004A2115" w:rsidRPr="00F536CB" w:rsidRDefault="004A2115" w:rsidP="004A2115">
      <w:pPr>
        <w:ind w:left="2694"/>
        <w:rPr>
          <w:sz w:val="19"/>
        </w:rPr>
      </w:pPr>
      <w:bookmarkStart w:id="0" w:name="_GoBack"/>
      <w:bookmarkEnd w:id="0"/>
    </w:p>
    <w:p w:rsidR="004A2115" w:rsidRPr="00F536CB" w:rsidRDefault="004A2115" w:rsidP="004A2115">
      <w:pPr>
        <w:pStyle w:val="Geenafstand"/>
        <w:jc w:val="left"/>
      </w:pPr>
      <w:r w:rsidRPr="000C1B6C">
        <w:rPr>
          <w:rFonts w:ascii="Arial" w:hAnsi="Arial" w:cs="Arial"/>
          <w:i/>
          <w:color w:val="0000FF"/>
          <w:sz w:val="20"/>
          <w:szCs w:val="20"/>
          <w:lang w:eastAsia="en-GB"/>
        </w:rPr>
        <w:t xml:space="preserve">Insights gained </w:t>
      </w:r>
    </w:p>
    <w:p w:rsidR="004A2115" w:rsidRPr="00C761BE" w:rsidRDefault="004A2115" w:rsidP="004A2115">
      <w:r w:rsidRPr="00C761BE">
        <w:rPr>
          <w:sz w:val="19"/>
          <w:szCs w:val="19"/>
        </w:rPr>
        <w:t>Data from the Hospital Discharge System show that from 2013 to 2015, 16.4 % of all hospital admissions were injury cases that correspond within the type of injury reported in the system EVITA. The average stay in hospital was 5.8 days.</w:t>
      </w:r>
    </w:p>
    <w:p w:rsidR="004A2115" w:rsidRPr="00F536CB" w:rsidRDefault="004A2115" w:rsidP="004A2115">
      <w:pPr>
        <w:ind w:left="2694"/>
        <w:rPr>
          <w:sz w:val="19"/>
        </w:rPr>
      </w:pPr>
    </w:p>
    <w:p w:rsidR="004A2115" w:rsidRDefault="004A2115" w:rsidP="004A2115">
      <w:pPr>
        <w:rPr>
          <w:sz w:val="19"/>
          <w:szCs w:val="19"/>
        </w:rPr>
      </w:pPr>
      <w:r w:rsidRPr="00C761BE">
        <w:rPr>
          <w:sz w:val="19"/>
          <w:szCs w:val="19"/>
        </w:rPr>
        <w:t xml:space="preserve">During the same period, EVITA collected data on 26.713 injury cases (the number of ED and health </w:t>
      </w:r>
      <w:proofErr w:type="spellStart"/>
      <w:r w:rsidRPr="00C761BE">
        <w:rPr>
          <w:sz w:val="19"/>
          <w:szCs w:val="19"/>
        </w:rPr>
        <w:t>centres</w:t>
      </w:r>
      <w:proofErr w:type="spellEnd"/>
      <w:r w:rsidRPr="00C761BE">
        <w:rPr>
          <w:sz w:val="19"/>
          <w:szCs w:val="19"/>
        </w:rPr>
        <w:t xml:space="preserve"> participating varied).</w:t>
      </w:r>
      <w:r w:rsidR="00CB2AE5">
        <w:rPr>
          <w:sz w:val="19"/>
          <w:szCs w:val="19"/>
        </w:rPr>
        <w:t xml:space="preserve"> </w:t>
      </w:r>
      <w:r w:rsidRPr="00C761BE">
        <w:rPr>
          <w:sz w:val="19"/>
          <w:szCs w:val="19"/>
        </w:rPr>
        <w:t>As for sex distribution in the years 2013-2015 data shows that in all group ages until 54 years men are more affected by injuries than women, but after 54 years the proportion of women exceeds that of males, which may also be reflecting the demographic structure.</w:t>
      </w:r>
    </w:p>
    <w:p w:rsidR="00CB2AE5" w:rsidRDefault="00CB2AE5" w:rsidP="004A2115">
      <w:pPr>
        <w:rPr>
          <w:i/>
          <w:color w:val="0000FF"/>
          <w:sz w:val="20"/>
          <w:szCs w:val="20"/>
          <w:lang w:eastAsia="en-GB"/>
        </w:rPr>
      </w:pPr>
    </w:p>
    <w:p w:rsidR="00CB2AE5" w:rsidRDefault="00CB2AE5" w:rsidP="004A2115">
      <w:pPr>
        <w:rPr>
          <w:sz w:val="19"/>
          <w:szCs w:val="19"/>
        </w:rPr>
      </w:pPr>
      <w:r w:rsidRPr="000C1B6C">
        <w:rPr>
          <w:i/>
          <w:color w:val="0000FF"/>
          <w:sz w:val="20"/>
          <w:szCs w:val="20"/>
          <w:lang w:eastAsia="en-GB"/>
        </w:rPr>
        <w:t>Future outlook</w:t>
      </w:r>
    </w:p>
    <w:p w:rsidR="00CB2AE5" w:rsidRPr="00F536CB" w:rsidRDefault="00CB2AE5" w:rsidP="00CB2AE5">
      <w:pPr>
        <w:rPr>
          <w:sz w:val="19"/>
        </w:rPr>
      </w:pPr>
      <w:r w:rsidRPr="00C761BE">
        <w:rPr>
          <w:sz w:val="19"/>
          <w:szCs w:val="19"/>
        </w:rPr>
        <w:t xml:space="preserve">Changes in NHS hospital management structures in 2009 and the reorganization of primary care system has led to a slowdown of notifications by the </w:t>
      </w:r>
      <w:proofErr w:type="spellStart"/>
      <w:r w:rsidRPr="00C761BE">
        <w:rPr>
          <w:sz w:val="19"/>
          <w:szCs w:val="19"/>
        </w:rPr>
        <w:t>EDs.</w:t>
      </w:r>
      <w:proofErr w:type="spellEnd"/>
      <w:r w:rsidRPr="00C761BE">
        <w:rPr>
          <w:sz w:val="19"/>
          <w:szCs w:val="19"/>
        </w:rPr>
        <w:t xml:space="preserve"> Due to these </w:t>
      </w:r>
      <w:r>
        <w:rPr>
          <w:sz w:val="19"/>
          <w:szCs w:val="19"/>
        </w:rPr>
        <w:t xml:space="preserve"> </w:t>
      </w:r>
      <w:r w:rsidRPr="00C761BE">
        <w:rPr>
          <w:sz w:val="19"/>
          <w:szCs w:val="19"/>
        </w:rPr>
        <w:t xml:space="preserve">developments the sample had to be rebuilt. Also, now the JAMIE-methodology has been agreed at EU-level, some changes are required in the instructions and the codification scheme of the data, which changes are expected to be fully implemented in the year </w:t>
      </w:r>
      <w:r w:rsidRPr="00F536CB">
        <w:rPr>
          <w:sz w:val="19"/>
          <w:szCs w:val="19"/>
        </w:rPr>
        <w:t>2017</w:t>
      </w:r>
      <w:r w:rsidRPr="00C761BE">
        <w:rPr>
          <w:sz w:val="19"/>
          <w:szCs w:val="19"/>
        </w:rPr>
        <w:t xml:space="preserve">. </w:t>
      </w:r>
      <w:r w:rsidRPr="00BE4DD0">
        <w:rPr>
          <w:sz w:val="19"/>
          <w:szCs w:val="19"/>
        </w:rPr>
        <w:t xml:space="preserve">A </w:t>
      </w:r>
      <w:r w:rsidRPr="00F536CB">
        <w:rPr>
          <w:sz w:val="19"/>
          <w:szCs w:val="19"/>
        </w:rPr>
        <w:t>n</w:t>
      </w:r>
      <w:r w:rsidRPr="00BE4DD0">
        <w:rPr>
          <w:sz w:val="19"/>
          <w:szCs w:val="19"/>
        </w:rPr>
        <w:t xml:space="preserve">ew training </w:t>
      </w:r>
      <w:proofErr w:type="spellStart"/>
      <w:r w:rsidRPr="00F536CB">
        <w:rPr>
          <w:sz w:val="19"/>
          <w:szCs w:val="19"/>
        </w:rPr>
        <w:t>programme</w:t>
      </w:r>
      <w:proofErr w:type="spellEnd"/>
      <w:r w:rsidRPr="00F536CB">
        <w:rPr>
          <w:sz w:val="19"/>
          <w:szCs w:val="19"/>
        </w:rPr>
        <w:t xml:space="preserve"> and supporting </w:t>
      </w:r>
      <w:r w:rsidRPr="00BE4DD0">
        <w:rPr>
          <w:sz w:val="19"/>
          <w:szCs w:val="19"/>
        </w:rPr>
        <w:t xml:space="preserve">materials </w:t>
      </w:r>
      <w:r w:rsidRPr="00F536CB">
        <w:rPr>
          <w:sz w:val="19"/>
          <w:szCs w:val="19"/>
        </w:rPr>
        <w:t xml:space="preserve">are </w:t>
      </w:r>
      <w:r w:rsidRPr="00BE4DD0">
        <w:rPr>
          <w:sz w:val="19"/>
          <w:szCs w:val="19"/>
        </w:rPr>
        <w:t xml:space="preserve">being developed </w:t>
      </w:r>
      <w:r w:rsidRPr="00F536CB">
        <w:rPr>
          <w:sz w:val="19"/>
          <w:szCs w:val="19"/>
        </w:rPr>
        <w:t xml:space="preserve">at INSA </w:t>
      </w:r>
      <w:r w:rsidRPr="00BE4DD0">
        <w:rPr>
          <w:sz w:val="19"/>
          <w:szCs w:val="19"/>
        </w:rPr>
        <w:t>to strengthen the link with the health institutions participating in the EVITA network</w:t>
      </w:r>
      <w:r w:rsidRPr="00F536CB">
        <w:rPr>
          <w:sz w:val="19"/>
          <w:szCs w:val="19"/>
        </w:rPr>
        <w:t>.</w:t>
      </w:r>
      <w:r>
        <w:rPr>
          <w:sz w:val="19"/>
          <w:szCs w:val="19"/>
        </w:rPr>
        <w:t xml:space="preserve"> </w:t>
      </w:r>
      <w:r w:rsidRPr="00C761BE">
        <w:rPr>
          <w:sz w:val="19"/>
          <w:szCs w:val="19"/>
        </w:rPr>
        <w:t>Work with the national health informatics service is ongoing to expand the sample registering injury cases with EVITA.</w:t>
      </w:r>
    </w:p>
    <w:p w:rsidR="00CB2AE5" w:rsidRDefault="00CB2AE5" w:rsidP="004A2115">
      <w:pPr>
        <w:rPr>
          <w:sz w:val="19"/>
          <w:szCs w:val="19"/>
        </w:rPr>
      </w:pPr>
    </w:p>
    <w:p w:rsidR="00CB2AE5" w:rsidRPr="00C761BE" w:rsidRDefault="00CB2AE5" w:rsidP="004A2115">
      <w:r w:rsidRPr="00A16DDF">
        <w:rPr>
          <w:sz w:val="19"/>
          <w:szCs w:val="19"/>
        </w:rPr>
        <w:t>Strategic hea</w:t>
      </w:r>
      <w:r>
        <w:rPr>
          <w:sz w:val="19"/>
          <w:szCs w:val="19"/>
        </w:rPr>
        <w:t>lth advisors, decision makers, c</w:t>
      </w:r>
      <w:r w:rsidRPr="00A16DDF">
        <w:rPr>
          <w:sz w:val="19"/>
          <w:szCs w:val="19"/>
        </w:rPr>
        <w:t xml:space="preserve">onsumer </w:t>
      </w:r>
      <w:r>
        <w:rPr>
          <w:sz w:val="19"/>
          <w:szCs w:val="19"/>
        </w:rPr>
        <w:t xml:space="preserve"> </w:t>
      </w:r>
      <w:r w:rsidRPr="00A16DDF">
        <w:rPr>
          <w:sz w:val="19"/>
          <w:szCs w:val="19"/>
        </w:rPr>
        <w:t>organizations, public health professionals, the media and university resea</w:t>
      </w:r>
      <w:r>
        <w:rPr>
          <w:sz w:val="19"/>
          <w:szCs w:val="19"/>
        </w:rPr>
        <w:t>rchers are the main users of the</w:t>
      </w:r>
      <w:r w:rsidRPr="00A16DDF">
        <w:rPr>
          <w:sz w:val="19"/>
          <w:szCs w:val="19"/>
        </w:rPr>
        <w:t xml:space="preserve"> data</w:t>
      </w:r>
      <w:r>
        <w:rPr>
          <w:sz w:val="19"/>
          <w:szCs w:val="19"/>
        </w:rPr>
        <w:t>.</w:t>
      </w:r>
    </w:p>
    <w:p w:rsidR="004A2115" w:rsidRDefault="004A2115" w:rsidP="004A2115"/>
    <w:p w:rsidR="004A2115" w:rsidRPr="00EE2327" w:rsidRDefault="004A2115" w:rsidP="004A2115">
      <w:pPr>
        <w:pStyle w:val="Geenafstand"/>
        <w:rPr>
          <w:rFonts w:ascii="Arial" w:hAnsi="Arial" w:cs="Arial"/>
          <w:i/>
          <w:color w:val="0000FF"/>
          <w:sz w:val="20"/>
          <w:szCs w:val="20"/>
          <w:lang w:val="lb-LU"/>
        </w:rPr>
      </w:pPr>
      <w:r w:rsidRPr="00EE2327">
        <w:rPr>
          <w:rFonts w:ascii="Arial" w:hAnsi="Arial" w:cs="Arial"/>
          <w:i/>
          <w:color w:val="0000FF"/>
          <w:sz w:val="20"/>
          <w:szCs w:val="20"/>
          <w:lang w:val="lb-LU"/>
        </w:rPr>
        <w:t xml:space="preserve">More information: </w:t>
      </w:r>
    </w:p>
    <w:p w:rsidR="004A2115" w:rsidRDefault="00EE2327" w:rsidP="004A2115">
      <w:pPr>
        <w:pStyle w:val="Geenafstand"/>
        <w:rPr>
          <w:rFonts w:ascii="Arial" w:hAnsi="Arial" w:cs="Arial"/>
          <w:sz w:val="20"/>
          <w:szCs w:val="20"/>
          <w:lang w:val="pt-PT"/>
        </w:rPr>
      </w:pPr>
      <w:hyperlink r:id="rId7" w:history="1">
        <w:r w:rsidRPr="003A5854">
          <w:rPr>
            <w:rStyle w:val="Hyperlink"/>
            <w:rFonts w:ascii="Arial" w:hAnsi="Arial" w:cs="Arial"/>
            <w:sz w:val="20"/>
            <w:szCs w:val="20"/>
            <w:lang w:val="pt-PT"/>
          </w:rPr>
          <w:t>mariana.neto@insa.min-saude.pt</w:t>
        </w:r>
      </w:hyperlink>
    </w:p>
    <w:p w:rsidR="00EE2327" w:rsidRDefault="00EE2327" w:rsidP="004A2115">
      <w:pPr>
        <w:pStyle w:val="Geenafstand"/>
        <w:rPr>
          <w:rFonts w:ascii="Arial" w:hAnsi="Arial" w:cs="Arial"/>
          <w:sz w:val="20"/>
          <w:szCs w:val="20"/>
          <w:lang w:val="pt-PT"/>
        </w:rPr>
      </w:pPr>
    </w:p>
    <w:p w:rsidR="00EE2327" w:rsidRPr="00EE2327" w:rsidRDefault="00EE2327" w:rsidP="004A2115">
      <w:pPr>
        <w:pStyle w:val="Geenafstand"/>
        <w:rPr>
          <w:rFonts w:ascii="Arial" w:hAnsi="Arial" w:cs="Arial"/>
          <w:color w:val="0000FF"/>
          <w:sz w:val="20"/>
          <w:szCs w:val="20"/>
          <w:lang w:val="lb-LU"/>
        </w:rPr>
      </w:pPr>
      <w:r>
        <w:rPr>
          <w:rFonts w:ascii="Arial" w:hAnsi="Arial" w:cs="Arial"/>
          <w:color w:val="0000FF"/>
          <w:sz w:val="20"/>
          <w:szCs w:val="20"/>
          <w:lang w:val="en-GB" w:eastAsia="en-GB"/>
        </w:rPr>
        <w:drawing>
          <wp:inline distT="0" distB="0" distL="0" distR="0">
            <wp:extent cx="3571374" cy="869950"/>
            <wp:effectExtent l="0" t="0" r="0" b="6350"/>
            <wp:docPr id="2" name="Afbeelding 2" descr="F:\EuroSafe\ricardojo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roSafe\ricardojor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374" cy="869950"/>
                    </a:xfrm>
                    <a:prstGeom prst="rect">
                      <a:avLst/>
                    </a:prstGeom>
                    <a:noFill/>
                    <a:ln>
                      <a:noFill/>
                    </a:ln>
                  </pic:spPr>
                </pic:pic>
              </a:graphicData>
            </a:graphic>
          </wp:inline>
        </w:drawing>
      </w:r>
    </w:p>
    <w:p w:rsidR="004A2115" w:rsidRDefault="004A2115" w:rsidP="004A2115">
      <w:pPr>
        <w:pStyle w:val="Geenafstand"/>
        <w:rPr>
          <w:rFonts w:ascii="Arial" w:hAnsi="Arial" w:cs="Arial"/>
          <w:color w:val="0000FF"/>
          <w:sz w:val="20"/>
          <w:szCs w:val="20"/>
          <w:lang w:val="lb-LU"/>
        </w:rPr>
      </w:pPr>
    </w:p>
    <w:p w:rsidR="004A2115" w:rsidRPr="000C1B6C" w:rsidRDefault="004A2115" w:rsidP="004A2115">
      <w:pPr>
        <w:pStyle w:val="Geenafstand"/>
        <w:rPr>
          <w:rFonts w:ascii="Arial" w:hAnsi="Arial" w:cs="Arial"/>
          <w:color w:val="0000FF"/>
          <w:sz w:val="20"/>
          <w:szCs w:val="20"/>
          <w:lang w:val="lb-LU"/>
        </w:rPr>
      </w:pPr>
    </w:p>
    <w:p w:rsidR="004A2115" w:rsidRDefault="004A2115" w:rsidP="004A2115">
      <w:pPr>
        <w:pStyle w:val="Geenafstand"/>
        <w:rPr>
          <w:rFonts w:ascii="Arial" w:hAnsi="Arial" w:cs="Arial"/>
          <w:i/>
          <w:color w:val="0000FF"/>
          <w:sz w:val="20"/>
          <w:szCs w:val="20"/>
        </w:rPr>
      </w:pPr>
      <w:r w:rsidRPr="00B41964">
        <w:rPr>
          <w:rFonts w:ascii="Arial" w:hAnsi="Arial" w:cs="Arial"/>
          <w:i/>
          <w:color w:val="0000FF"/>
          <w:sz w:val="20"/>
          <w:szCs w:val="20"/>
        </w:rPr>
        <w:t>IDB-related publications:</w:t>
      </w:r>
    </w:p>
    <w:p w:rsidR="004A2115" w:rsidRPr="00B41964" w:rsidRDefault="004A2115" w:rsidP="004A2115">
      <w:pPr>
        <w:pStyle w:val="Geenafstand"/>
        <w:rPr>
          <w:rFonts w:ascii="Arial" w:hAnsi="Arial" w:cs="Arial"/>
          <w:i/>
          <w:sz w:val="20"/>
          <w:szCs w:val="20"/>
        </w:rPr>
      </w:pPr>
    </w:p>
    <w:p w:rsidR="004A2115" w:rsidRDefault="004A2115" w:rsidP="004A2115">
      <w:pPr>
        <w:rPr>
          <w:sz w:val="16"/>
          <w:szCs w:val="16"/>
        </w:rPr>
      </w:pPr>
      <w:r w:rsidRPr="00B477FB">
        <w:rPr>
          <w:sz w:val="16"/>
          <w:szCs w:val="16"/>
        </w:rPr>
        <w:t xml:space="preserve">Barros P, Almeida </w:t>
      </w:r>
      <w:proofErr w:type="spellStart"/>
      <w:r w:rsidRPr="00B477FB">
        <w:rPr>
          <w:sz w:val="16"/>
          <w:szCs w:val="16"/>
        </w:rPr>
        <w:t>Simões</w:t>
      </w:r>
      <w:proofErr w:type="spellEnd"/>
      <w:r w:rsidRPr="00B477FB">
        <w:rPr>
          <w:sz w:val="16"/>
          <w:szCs w:val="16"/>
        </w:rPr>
        <w:t xml:space="preserve"> J. Por</w:t>
      </w:r>
      <w:r>
        <w:rPr>
          <w:sz w:val="16"/>
          <w:szCs w:val="16"/>
        </w:rPr>
        <w:t xml:space="preserve">tugal: Health system </w:t>
      </w:r>
      <w:r w:rsidRPr="00B477FB">
        <w:rPr>
          <w:sz w:val="16"/>
          <w:szCs w:val="16"/>
        </w:rPr>
        <w:t xml:space="preserve">review. </w:t>
      </w:r>
      <w:r w:rsidRPr="00B477FB">
        <w:rPr>
          <w:i/>
          <w:sz w:val="16"/>
          <w:szCs w:val="16"/>
        </w:rPr>
        <w:t>Health Systems in Transition</w:t>
      </w:r>
      <w:r w:rsidRPr="00B477FB">
        <w:rPr>
          <w:sz w:val="16"/>
          <w:szCs w:val="16"/>
        </w:rPr>
        <w:t>, 2007; 9(5)</w:t>
      </w:r>
    </w:p>
    <w:p w:rsidR="004A2115" w:rsidRPr="00B477FB" w:rsidRDefault="004A2115" w:rsidP="004A2115">
      <w:pPr>
        <w:rPr>
          <w:sz w:val="16"/>
          <w:szCs w:val="16"/>
        </w:rPr>
      </w:pPr>
      <w:r w:rsidRPr="004A2115">
        <w:rPr>
          <w:sz w:val="16"/>
          <w:szCs w:val="16"/>
        </w:rPr>
        <w:t>https://www.ncbi.nlm.nih.gov/pubmed/22222781</w:t>
      </w:r>
    </w:p>
    <w:p w:rsidR="004A2115" w:rsidRDefault="004A2115" w:rsidP="004A2115">
      <w:pPr>
        <w:rPr>
          <w:sz w:val="16"/>
          <w:szCs w:val="16"/>
        </w:rPr>
      </w:pPr>
    </w:p>
    <w:p w:rsidR="004A2115" w:rsidRPr="00B477FB" w:rsidRDefault="004A2115" w:rsidP="004A2115">
      <w:pPr>
        <w:rPr>
          <w:sz w:val="16"/>
          <w:szCs w:val="16"/>
        </w:rPr>
      </w:pPr>
      <w:r w:rsidRPr="00B477FB">
        <w:rPr>
          <w:sz w:val="16"/>
          <w:szCs w:val="16"/>
        </w:rPr>
        <w:t xml:space="preserve">INE (2016). </w:t>
      </w:r>
      <w:proofErr w:type="spellStart"/>
      <w:r w:rsidRPr="00B477FB">
        <w:rPr>
          <w:sz w:val="16"/>
          <w:szCs w:val="16"/>
        </w:rPr>
        <w:t>Estatísticas</w:t>
      </w:r>
      <w:proofErr w:type="spellEnd"/>
      <w:r w:rsidRPr="00B477FB">
        <w:rPr>
          <w:sz w:val="16"/>
          <w:szCs w:val="16"/>
        </w:rPr>
        <w:t xml:space="preserve"> da </w:t>
      </w:r>
      <w:proofErr w:type="spellStart"/>
      <w:r w:rsidRPr="00B477FB">
        <w:rPr>
          <w:sz w:val="16"/>
          <w:szCs w:val="16"/>
        </w:rPr>
        <w:t>Saúde</w:t>
      </w:r>
      <w:proofErr w:type="spellEnd"/>
      <w:r w:rsidRPr="00B477FB">
        <w:rPr>
          <w:sz w:val="16"/>
          <w:szCs w:val="16"/>
        </w:rPr>
        <w:t xml:space="preserve"> 2014 (Health-related statistics, 2014). Lisbon, National Statistics Institute</w:t>
      </w:r>
    </w:p>
    <w:p w:rsidR="004A2115" w:rsidRDefault="004A2115" w:rsidP="004A2115">
      <w:pPr>
        <w:rPr>
          <w:sz w:val="16"/>
          <w:szCs w:val="16"/>
        </w:rPr>
      </w:pPr>
      <w:hyperlink r:id="rId9" w:history="1">
        <w:r w:rsidRPr="003A5854">
          <w:rPr>
            <w:rStyle w:val="Hyperlink"/>
            <w:sz w:val="16"/>
            <w:szCs w:val="16"/>
          </w:rPr>
          <w:t>https://www.ine.pt/xportal/xmain?xpid=INE&amp;xpgid=ine_publicacoes&amp;PUBLICACOESpub_boui=257402707&amp;PUBLICACOEStema=55538&amp;PUBLICACOESmodo=2</w:t>
        </w:r>
      </w:hyperlink>
    </w:p>
    <w:p w:rsidR="004A2115" w:rsidRDefault="004A2115" w:rsidP="004A2115">
      <w:pPr>
        <w:rPr>
          <w:sz w:val="16"/>
          <w:szCs w:val="16"/>
        </w:rPr>
      </w:pPr>
    </w:p>
    <w:sectPr w:rsidR="004A2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Light">
    <w:altName w:val="Times New Roman"/>
    <w:charset w:val="00"/>
    <w:family w:val="auto"/>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C4"/>
    <w:multiLevelType w:val="hybridMultilevel"/>
    <w:tmpl w:val="798C87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7F61DC9"/>
    <w:multiLevelType w:val="hybridMultilevel"/>
    <w:tmpl w:val="834463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8D0286E"/>
    <w:multiLevelType w:val="hybridMultilevel"/>
    <w:tmpl w:val="5A446180"/>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2D0A10"/>
    <w:multiLevelType w:val="hybridMultilevel"/>
    <w:tmpl w:val="4DD8A73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514011"/>
    <w:multiLevelType w:val="hybridMultilevel"/>
    <w:tmpl w:val="F6E4192A"/>
    <w:lvl w:ilvl="0" w:tplc="0413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F958D3"/>
    <w:multiLevelType w:val="hybridMultilevel"/>
    <w:tmpl w:val="129EB8BC"/>
    <w:lvl w:ilvl="0" w:tplc="08160001">
      <w:start w:val="1"/>
      <w:numFmt w:val="bullet"/>
      <w:lvlText w:val=""/>
      <w:lvlJc w:val="left"/>
      <w:pPr>
        <w:ind w:left="885" w:hanging="360"/>
      </w:pPr>
      <w:rPr>
        <w:rFonts w:ascii="Symbol" w:hAnsi="Symbol" w:hint="default"/>
      </w:rPr>
    </w:lvl>
    <w:lvl w:ilvl="1" w:tplc="08160003" w:tentative="1">
      <w:start w:val="1"/>
      <w:numFmt w:val="bullet"/>
      <w:lvlText w:val="o"/>
      <w:lvlJc w:val="left"/>
      <w:pPr>
        <w:ind w:left="1605" w:hanging="360"/>
      </w:pPr>
      <w:rPr>
        <w:rFonts w:ascii="Courier New" w:hAnsi="Courier New" w:cs="Courier New" w:hint="default"/>
      </w:rPr>
    </w:lvl>
    <w:lvl w:ilvl="2" w:tplc="08160005" w:tentative="1">
      <w:start w:val="1"/>
      <w:numFmt w:val="bullet"/>
      <w:lvlText w:val=""/>
      <w:lvlJc w:val="left"/>
      <w:pPr>
        <w:ind w:left="2325" w:hanging="360"/>
      </w:pPr>
      <w:rPr>
        <w:rFonts w:ascii="Wingdings" w:hAnsi="Wingdings" w:hint="default"/>
      </w:rPr>
    </w:lvl>
    <w:lvl w:ilvl="3" w:tplc="08160001" w:tentative="1">
      <w:start w:val="1"/>
      <w:numFmt w:val="bullet"/>
      <w:lvlText w:val=""/>
      <w:lvlJc w:val="left"/>
      <w:pPr>
        <w:ind w:left="3045" w:hanging="360"/>
      </w:pPr>
      <w:rPr>
        <w:rFonts w:ascii="Symbol" w:hAnsi="Symbol" w:hint="default"/>
      </w:rPr>
    </w:lvl>
    <w:lvl w:ilvl="4" w:tplc="08160003" w:tentative="1">
      <w:start w:val="1"/>
      <w:numFmt w:val="bullet"/>
      <w:lvlText w:val="o"/>
      <w:lvlJc w:val="left"/>
      <w:pPr>
        <w:ind w:left="3765" w:hanging="360"/>
      </w:pPr>
      <w:rPr>
        <w:rFonts w:ascii="Courier New" w:hAnsi="Courier New" w:cs="Courier New" w:hint="default"/>
      </w:rPr>
    </w:lvl>
    <w:lvl w:ilvl="5" w:tplc="08160005" w:tentative="1">
      <w:start w:val="1"/>
      <w:numFmt w:val="bullet"/>
      <w:lvlText w:val=""/>
      <w:lvlJc w:val="left"/>
      <w:pPr>
        <w:ind w:left="4485" w:hanging="360"/>
      </w:pPr>
      <w:rPr>
        <w:rFonts w:ascii="Wingdings" w:hAnsi="Wingdings" w:hint="default"/>
      </w:rPr>
    </w:lvl>
    <w:lvl w:ilvl="6" w:tplc="08160001" w:tentative="1">
      <w:start w:val="1"/>
      <w:numFmt w:val="bullet"/>
      <w:lvlText w:val=""/>
      <w:lvlJc w:val="left"/>
      <w:pPr>
        <w:ind w:left="5205" w:hanging="360"/>
      </w:pPr>
      <w:rPr>
        <w:rFonts w:ascii="Symbol" w:hAnsi="Symbol" w:hint="default"/>
      </w:rPr>
    </w:lvl>
    <w:lvl w:ilvl="7" w:tplc="08160003" w:tentative="1">
      <w:start w:val="1"/>
      <w:numFmt w:val="bullet"/>
      <w:lvlText w:val="o"/>
      <w:lvlJc w:val="left"/>
      <w:pPr>
        <w:ind w:left="5925" w:hanging="360"/>
      </w:pPr>
      <w:rPr>
        <w:rFonts w:ascii="Courier New" w:hAnsi="Courier New" w:cs="Courier New" w:hint="default"/>
      </w:rPr>
    </w:lvl>
    <w:lvl w:ilvl="8" w:tplc="08160005" w:tentative="1">
      <w:start w:val="1"/>
      <w:numFmt w:val="bullet"/>
      <w:lvlText w:val=""/>
      <w:lvlJc w:val="left"/>
      <w:pPr>
        <w:ind w:left="6645"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15"/>
    <w:rsid w:val="00094DD9"/>
    <w:rsid w:val="004A2115"/>
    <w:rsid w:val="00A905F4"/>
    <w:rsid w:val="00CB2AE5"/>
    <w:rsid w:val="00EE2327"/>
    <w:rsid w:val="00F9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4A2115"/>
    <w:pPr>
      <w:widowControl w:val="0"/>
      <w:spacing w:after="0" w:line="240" w:lineRule="auto"/>
    </w:pPr>
    <w:rPr>
      <w:rFonts w:ascii="Arial" w:eastAsia="Arial" w:hAnsi="Arial" w:cs="Arial"/>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4A2115"/>
    <w:pPr>
      <w:ind w:left="391" w:hanging="226"/>
    </w:pPr>
  </w:style>
  <w:style w:type="paragraph" w:styleId="Geenafstand">
    <w:name w:val="No Spacing"/>
    <w:uiPriority w:val="1"/>
    <w:qFormat/>
    <w:rsid w:val="004A2115"/>
    <w:pPr>
      <w:spacing w:after="0" w:line="240" w:lineRule="auto"/>
      <w:jc w:val="both"/>
    </w:pPr>
    <w:rPr>
      <w:rFonts w:ascii="Calibri" w:eastAsia="SimSun" w:hAnsi="Calibri" w:cs="Calibri-Light"/>
      <w:noProof/>
      <w:color w:val="000000"/>
      <w:lang w:val="en-US" w:eastAsia="zh-CN"/>
    </w:rPr>
  </w:style>
  <w:style w:type="character" w:styleId="Hyperlink">
    <w:name w:val="Hyperlink"/>
    <w:basedOn w:val="Standaardalinea-lettertype"/>
    <w:uiPriority w:val="99"/>
    <w:unhideWhenUsed/>
    <w:rsid w:val="004A2115"/>
    <w:rPr>
      <w:color w:val="0000FF" w:themeColor="hyperlink"/>
      <w:u w:val="single"/>
    </w:rPr>
  </w:style>
  <w:style w:type="paragraph" w:styleId="Ballontekst">
    <w:name w:val="Balloon Text"/>
    <w:basedOn w:val="Standaard"/>
    <w:link w:val="BallontekstChar"/>
    <w:uiPriority w:val="99"/>
    <w:semiHidden/>
    <w:unhideWhenUsed/>
    <w:rsid w:val="00EE2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E2327"/>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4A2115"/>
    <w:pPr>
      <w:widowControl w:val="0"/>
      <w:spacing w:after="0" w:line="240" w:lineRule="auto"/>
    </w:pPr>
    <w:rPr>
      <w:rFonts w:ascii="Arial" w:eastAsia="Arial" w:hAnsi="Arial" w:cs="Arial"/>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4A2115"/>
    <w:pPr>
      <w:ind w:left="391" w:hanging="226"/>
    </w:pPr>
  </w:style>
  <w:style w:type="paragraph" w:styleId="Geenafstand">
    <w:name w:val="No Spacing"/>
    <w:uiPriority w:val="1"/>
    <w:qFormat/>
    <w:rsid w:val="004A2115"/>
    <w:pPr>
      <w:spacing w:after="0" w:line="240" w:lineRule="auto"/>
      <w:jc w:val="both"/>
    </w:pPr>
    <w:rPr>
      <w:rFonts w:ascii="Calibri" w:eastAsia="SimSun" w:hAnsi="Calibri" w:cs="Calibri-Light"/>
      <w:noProof/>
      <w:color w:val="000000"/>
      <w:lang w:val="en-US" w:eastAsia="zh-CN"/>
    </w:rPr>
  </w:style>
  <w:style w:type="character" w:styleId="Hyperlink">
    <w:name w:val="Hyperlink"/>
    <w:basedOn w:val="Standaardalinea-lettertype"/>
    <w:uiPriority w:val="99"/>
    <w:unhideWhenUsed/>
    <w:rsid w:val="004A2115"/>
    <w:rPr>
      <w:color w:val="0000FF" w:themeColor="hyperlink"/>
      <w:u w:val="single"/>
    </w:rPr>
  </w:style>
  <w:style w:type="paragraph" w:styleId="Ballontekst">
    <w:name w:val="Balloon Text"/>
    <w:basedOn w:val="Standaard"/>
    <w:link w:val="BallontekstChar"/>
    <w:uiPriority w:val="99"/>
    <w:semiHidden/>
    <w:unhideWhenUsed/>
    <w:rsid w:val="00EE2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E2327"/>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mariana.neto@insa.min-saude.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e.pt/xportal/xmain?xpid=INE&amp;xpgid=ine_publicacoes&amp;PUBLICACOESpub_boui=257402707&amp;PUBLICACOEStema=55538&amp;PUBLICACOESmodo=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989</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rogmans</dc:creator>
  <cp:lastModifiedBy>rogmans</cp:lastModifiedBy>
  <cp:revision>1</cp:revision>
  <dcterms:created xsi:type="dcterms:W3CDTF">2017-01-24T10:50:00Z</dcterms:created>
  <dcterms:modified xsi:type="dcterms:W3CDTF">2017-01-24T11:24:00Z</dcterms:modified>
</cp:coreProperties>
</file>