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DD5" w:rsidRDefault="000B4DD5" w:rsidP="007F3A6B">
      <w:pPr>
        <w:spacing w:line="260" w:lineRule="atLeast"/>
        <w:rPr>
          <w:rFonts w:ascii="Arial" w:hAnsi="Arial" w:cs="Arial"/>
          <w:b/>
          <w:color w:val="0000FF"/>
          <w:lang w:val="en-GB"/>
        </w:rPr>
      </w:pPr>
      <w:r w:rsidRPr="000B4DD5">
        <w:rPr>
          <w:rFonts w:ascii="Arial" w:hAnsi="Arial" w:cs="Arial"/>
          <w:b/>
          <w:color w:val="0000FF"/>
          <w:lang w:val="en-GB"/>
        </w:rPr>
        <w:t>Country update on Injury Surveillance</w:t>
      </w:r>
      <w:r>
        <w:rPr>
          <w:rFonts w:ascii="Arial" w:hAnsi="Arial" w:cs="Arial"/>
          <w:b/>
          <w:color w:val="0000FF"/>
          <w:lang w:val="en-GB"/>
        </w:rPr>
        <w:t>: the Netherlands</w:t>
      </w:r>
    </w:p>
    <w:p w:rsidR="000B4DD5" w:rsidRDefault="00242CFD" w:rsidP="007F3A6B">
      <w:pPr>
        <w:spacing w:line="260" w:lineRule="atLeast"/>
        <w:rPr>
          <w:rFonts w:ascii="Arial" w:hAnsi="Arial" w:cs="Arial"/>
          <w:b/>
          <w:color w:val="0000FF"/>
          <w:lang w:val="en-GB"/>
        </w:rPr>
      </w:pPr>
      <w:r>
        <w:rPr>
          <w:lang w:val="en-GB" w:eastAsia="en-GB"/>
        </w:rPr>
        <w:drawing>
          <wp:inline distT="0" distB="0" distL="0" distR="0">
            <wp:extent cx="5486400" cy="1953158"/>
            <wp:effectExtent l="0" t="0" r="0" b="9525"/>
            <wp:docPr id="4" name="Afbeelding 4" descr="Afbeeldingsresultaat voor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amsterd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1953158"/>
                    </a:xfrm>
                    <a:prstGeom prst="rect">
                      <a:avLst/>
                    </a:prstGeom>
                    <a:noFill/>
                    <a:ln>
                      <a:noFill/>
                    </a:ln>
                  </pic:spPr>
                </pic:pic>
              </a:graphicData>
            </a:graphic>
          </wp:inline>
        </w:drawing>
      </w:r>
    </w:p>
    <w:p w:rsidR="000B4DD5" w:rsidRDefault="000B4DD5" w:rsidP="000B4DD5">
      <w:pPr>
        <w:pStyle w:val="Geenafstand"/>
        <w:jc w:val="left"/>
        <w:rPr>
          <w:rFonts w:ascii="Arial" w:hAnsi="Arial" w:cs="Arial"/>
          <w:i/>
          <w:color w:val="0000FF"/>
          <w:sz w:val="20"/>
          <w:szCs w:val="20"/>
          <w:lang w:val="en-GB"/>
        </w:rPr>
      </w:pPr>
    </w:p>
    <w:p w:rsidR="000B4DD5" w:rsidRDefault="000B4DD5" w:rsidP="000B4DD5">
      <w:pPr>
        <w:pStyle w:val="Geenafstand"/>
        <w:jc w:val="left"/>
        <w:rPr>
          <w:rFonts w:ascii="Arial" w:hAnsi="Arial" w:cs="Arial"/>
          <w:i/>
          <w:color w:val="0000FF"/>
          <w:sz w:val="20"/>
          <w:szCs w:val="20"/>
          <w:lang w:val="en-GB"/>
        </w:rPr>
      </w:pPr>
    </w:p>
    <w:p w:rsidR="000B4DD5" w:rsidRPr="000C1B6C" w:rsidRDefault="000B4DD5" w:rsidP="000B4DD5">
      <w:pPr>
        <w:pStyle w:val="Geenafstand"/>
        <w:jc w:val="left"/>
        <w:rPr>
          <w:rFonts w:ascii="Arial" w:hAnsi="Arial" w:cs="Arial"/>
          <w:i/>
          <w:color w:val="0000FF"/>
          <w:sz w:val="20"/>
          <w:szCs w:val="20"/>
          <w:lang w:val="lb-LU"/>
        </w:rPr>
      </w:pPr>
      <w:r w:rsidRPr="000C1B6C">
        <w:rPr>
          <w:rFonts w:ascii="Arial" w:hAnsi="Arial" w:cs="Arial"/>
          <w:i/>
          <w:color w:val="0000FF"/>
          <w:sz w:val="20"/>
          <w:szCs w:val="20"/>
          <w:lang w:val="lb-LU"/>
        </w:rPr>
        <w:t>Introduction</w:t>
      </w:r>
    </w:p>
    <w:p w:rsidR="002D58A0" w:rsidRPr="00C848DE" w:rsidRDefault="002D58A0" w:rsidP="007F3A6B">
      <w:pPr>
        <w:spacing w:line="260" w:lineRule="atLeast"/>
        <w:rPr>
          <w:rFonts w:ascii="Arial" w:hAnsi="Arial" w:cs="Arial"/>
          <w:sz w:val="20"/>
          <w:szCs w:val="20"/>
          <w:lang w:val="en-US"/>
        </w:rPr>
      </w:pPr>
      <w:r w:rsidRPr="00C848DE">
        <w:rPr>
          <w:rFonts w:ascii="Arial" w:hAnsi="Arial" w:cs="Arial"/>
          <w:sz w:val="20"/>
          <w:szCs w:val="20"/>
          <w:lang w:val="en-US"/>
        </w:rPr>
        <w:t>In 19</w:t>
      </w:r>
      <w:r w:rsidR="00642CBA" w:rsidRPr="00C848DE">
        <w:rPr>
          <w:rFonts w:ascii="Arial" w:hAnsi="Arial" w:cs="Arial"/>
          <w:sz w:val="20"/>
          <w:szCs w:val="20"/>
          <w:lang w:val="en-US"/>
        </w:rPr>
        <w:t>8</w:t>
      </w:r>
      <w:r w:rsidRPr="00C848DE">
        <w:rPr>
          <w:rFonts w:ascii="Arial" w:hAnsi="Arial" w:cs="Arial"/>
          <w:sz w:val="20"/>
          <w:szCs w:val="20"/>
          <w:lang w:val="en-US"/>
        </w:rPr>
        <w:t xml:space="preserve">6, the Consumer Safety Institute in The Netherlands developed a system for the registration of injuries that </w:t>
      </w:r>
      <w:r w:rsidR="00A418D8">
        <w:rPr>
          <w:rFonts w:ascii="Arial" w:hAnsi="Arial" w:cs="Arial"/>
          <w:sz w:val="20"/>
          <w:szCs w:val="20"/>
          <w:lang w:val="en-US"/>
        </w:rPr>
        <w:t>are</w:t>
      </w:r>
      <w:r w:rsidRPr="00C848DE">
        <w:rPr>
          <w:rFonts w:ascii="Arial" w:hAnsi="Arial" w:cs="Arial"/>
          <w:sz w:val="20"/>
          <w:szCs w:val="20"/>
          <w:lang w:val="en-US"/>
        </w:rPr>
        <w:t xml:space="preserve"> treated at Emergency Departments in Dutch hospitals. </w:t>
      </w:r>
      <w:r w:rsidR="00BE387B" w:rsidRPr="00C848DE">
        <w:rPr>
          <w:rFonts w:ascii="Arial" w:hAnsi="Arial" w:cs="Arial"/>
          <w:sz w:val="20"/>
          <w:szCs w:val="20"/>
          <w:lang w:val="en-US"/>
        </w:rPr>
        <w:t xml:space="preserve">Main purpose was to gain insight on the number of injuries due to different </w:t>
      </w:r>
      <w:r w:rsidR="00FC0B78">
        <w:rPr>
          <w:rFonts w:ascii="Arial" w:hAnsi="Arial" w:cs="Arial"/>
          <w:sz w:val="20"/>
          <w:szCs w:val="20"/>
          <w:lang w:val="en-US"/>
        </w:rPr>
        <w:t xml:space="preserve">types of </w:t>
      </w:r>
      <w:r w:rsidR="00BE387B" w:rsidRPr="00C848DE">
        <w:rPr>
          <w:rFonts w:ascii="Arial" w:hAnsi="Arial" w:cs="Arial"/>
          <w:sz w:val="20"/>
          <w:szCs w:val="20"/>
          <w:lang w:val="en-US"/>
        </w:rPr>
        <w:t xml:space="preserve">accidents in </w:t>
      </w:r>
      <w:r w:rsidR="000B4DD5">
        <w:rPr>
          <w:rFonts w:ascii="Arial" w:hAnsi="Arial" w:cs="Arial"/>
          <w:sz w:val="20"/>
          <w:szCs w:val="20"/>
          <w:lang w:val="en-US"/>
        </w:rPr>
        <w:t>t</w:t>
      </w:r>
      <w:r w:rsidR="00BE387B" w:rsidRPr="00C848DE">
        <w:rPr>
          <w:rFonts w:ascii="Arial" w:hAnsi="Arial" w:cs="Arial"/>
          <w:sz w:val="20"/>
          <w:szCs w:val="20"/>
          <w:lang w:val="en-US"/>
        </w:rPr>
        <w:t>he Netherlands, and to monitor the development</w:t>
      </w:r>
      <w:r w:rsidR="00FC0B78">
        <w:rPr>
          <w:rFonts w:ascii="Arial" w:hAnsi="Arial" w:cs="Arial"/>
          <w:sz w:val="20"/>
          <w:szCs w:val="20"/>
          <w:lang w:val="en-US"/>
        </w:rPr>
        <w:t xml:space="preserve"> </w:t>
      </w:r>
      <w:r w:rsidR="00BE387B" w:rsidRPr="00C848DE">
        <w:rPr>
          <w:rFonts w:ascii="Arial" w:hAnsi="Arial" w:cs="Arial"/>
          <w:sz w:val="20"/>
          <w:szCs w:val="20"/>
          <w:lang w:val="en-US"/>
        </w:rPr>
        <w:t xml:space="preserve">of injuries through the years. </w:t>
      </w:r>
      <w:r w:rsidRPr="00C848DE">
        <w:rPr>
          <w:rFonts w:ascii="Arial" w:hAnsi="Arial" w:cs="Arial"/>
          <w:sz w:val="20"/>
          <w:szCs w:val="20"/>
          <w:lang w:val="en-US"/>
        </w:rPr>
        <w:t xml:space="preserve">A sample of ED’s started registering ED-treatments on Home and Leisure accidents. In </w:t>
      </w:r>
      <w:bookmarkStart w:id="0" w:name="_GoBack"/>
      <w:bookmarkEnd w:id="0"/>
      <w:r w:rsidRPr="00C848DE">
        <w:rPr>
          <w:rFonts w:ascii="Arial" w:hAnsi="Arial" w:cs="Arial"/>
          <w:sz w:val="20"/>
          <w:szCs w:val="20"/>
          <w:lang w:val="en-US"/>
        </w:rPr>
        <w:t>1997 the registration was extended to traffic accidents, accidents at work and injuries due to violence.</w:t>
      </w:r>
    </w:p>
    <w:p w:rsidR="002D58A0" w:rsidRPr="00C848DE" w:rsidRDefault="002D58A0" w:rsidP="007F3A6B">
      <w:pPr>
        <w:spacing w:line="260" w:lineRule="atLeast"/>
        <w:rPr>
          <w:rFonts w:ascii="Arial" w:hAnsi="Arial" w:cs="Arial"/>
          <w:sz w:val="20"/>
          <w:szCs w:val="20"/>
          <w:lang w:val="en-US"/>
        </w:rPr>
      </w:pPr>
    </w:p>
    <w:p w:rsidR="000B4DD5" w:rsidRPr="000C1B6C" w:rsidRDefault="000B4DD5" w:rsidP="000B4DD5">
      <w:pPr>
        <w:pStyle w:val="Geenafstand"/>
        <w:jc w:val="left"/>
        <w:rPr>
          <w:rFonts w:ascii="Arial" w:hAnsi="Arial" w:cs="Arial"/>
          <w:i/>
          <w:color w:val="0000FF"/>
          <w:sz w:val="20"/>
          <w:szCs w:val="20"/>
          <w:lang w:eastAsia="en-GB"/>
        </w:rPr>
      </w:pPr>
      <w:r w:rsidRPr="000C1B6C">
        <w:rPr>
          <w:rFonts w:ascii="Arial" w:hAnsi="Arial" w:cs="Arial"/>
          <w:i/>
          <w:color w:val="0000FF"/>
          <w:sz w:val="20"/>
          <w:szCs w:val="20"/>
          <w:lang w:eastAsia="en-GB"/>
        </w:rPr>
        <w:t>National IDB-system</w:t>
      </w:r>
    </w:p>
    <w:p w:rsidR="002D58A0" w:rsidRPr="00C848DE" w:rsidRDefault="002048CE" w:rsidP="007F3A6B">
      <w:pPr>
        <w:spacing w:line="260" w:lineRule="atLeast"/>
        <w:rPr>
          <w:rFonts w:ascii="Arial" w:hAnsi="Arial" w:cs="Arial"/>
          <w:sz w:val="20"/>
          <w:szCs w:val="20"/>
          <w:lang w:val="en-US"/>
        </w:rPr>
      </w:pPr>
      <w:r w:rsidRPr="00C848DE">
        <w:rPr>
          <w:rFonts w:ascii="Arial" w:hAnsi="Arial" w:cs="Arial"/>
          <w:sz w:val="20"/>
          <w:szCs w:val="20"/>
          <w:lang w:val="en-US"/>
        </w:rPr>
        <w:t xml:space="preserve">Funded by the Ministry of Health, </w:t>
      </w:r>
      <w:r w:rsidR="002D58A0" w:rsidRPr="00C848DE">
        <w:rPr>
          <w:rFonts w:ascii="Arial" w:hAnsi="Arial" w:cs="Arial"/>
          <w:sz w:val="20"/>
          <w:szCs w:val="20"/>
          <w:lang w:val="en-US"/>
        </w:rPr>
        <w:t>this Dutch Inju</w:t>
      </w:r>
      <w:r w:rsidR="00BE387B" w:rsidRPr="00C848DE">
        <w:rPr>
          <w:rFonts w:ascii="Arial" w:hAnsi="Arial" w:cs="Arial"/>
          <w:sz w:val="20"/>
          <w:szCs w:val="20"/>
          <w:lang w:val="en-US"/>
        </w:rPr>
        <w:t xml:space="preserve">ry </w:t>
      </w:r>
      <w:r w:rsidR="002D58A0" w:rsidRPr="00C848DE">
        <w:rPr>
          <w:rFonts w:ascii="Arial" w:hAnsi="Arial" w:cs="Arial"/>
          <w:sz w:val="20"/>
          <w:szCs w:val="20"/>
          <w:lang w:val="en-US"/>
        </w:rPr>
        <w:t xml:space="preserve">Surveillance System </w:t>
      </w:r>
      <w:r w:rsidRPr="00C848DE">
        <w:rPr>
          <w:rFonts w:ascii="Arial" w:hAnsi="Arial" w:cs="Arial"/>
          <w:sz w:val="20"/>
          <w:szCs w:val="20"/>
          <w:lang w:val="en-US"/>
        </w:rPr>
        <w:t xml:space="preserve">(DISS) currently </w:t>
      </w:r>
      <w:r w:rsidR="002D58A0" w:rsidRPr="00C848DE">
        <w:rPr>
          <w:rFonts w:ascii="Arial" w:hAnsi="Arial" w:cs="Arial"/>
          <w:sz w:val="20"/>
          <w:szCs w:val="20"/>
          <w:lang w:val="en-US"/>
        </w:rPr>
        <w:t xml:space="preserve">operates in 14 ED’s and registers 80.000 – 100.000 injuries each year, </w:t>
      </w:r>
      <w:r w:rsidR="000B4DD5">
        <w:rPr>
          <w:rFonts w:ascii="Arial" w:hAnsi="Arial" w:cs="Arial"/>
          <w:sz w:val="20"/>
          <w:szCs w:val="20"/>
          <w:lang w:val="en-US"/>
        </w:rPr>
        <w:t>representing</w:t>
      </w:r>
      <w:r w:rsidR="002D58A0" w:rsidRPr="00C848DE">
        <w:rPr>
          <w:rFonts w:ascii="Arial" w:hAnsi="Arial" w:cs="Arial"/>
          <w:sz w:val="20"/>
          <w:szCs w:val="20"/>
          <w:lang w:val="en-US"/>
        </w:rPr>
        <w:t xml:space="preserve"> an estimated 750.000 ED-treatments fo</w:t>
      </w:r>
      <w:r w:rsidR="00FC0B78">
        <w:rPr>
          <w:rFonts w:ascii="Arial" w:hAnsi="Arial" w:cs="Arial"/>
          <w:sz w:val="20"/>
          <w:szCs w:val="20"/>
          <w:lang w:val="en-US"/>
        </w:rPr>
        <w:t>r injuries in the Netherlands. Participating h</w:t>
      </w:r>
      <w:r w:rsidR="002D58A0" w:rsidRPr="00C848DE">
        <w:rPr>
          <w:rFonts w:ascii="Arial" w:hAnsi="Arial" w:cs="Arial"/>
          <w:sz w:val="20"/>
          <w:szCs w:val="20"/>
          <w:lang w:val="en-US"/>
        </w:rPr>
        <w:t xml:space="preserve">ospitals </w:t>
      </w:r>
      <w:r w:rsidR="00BE387B" w:rsidRPr="00C848DE">
        <w:rPr>
          <w:rFonts w:ascii="Arial" w:hAnsi="Arial" w:cs="Arial"/>
          <w:sz w:val="20"/>
          <w:szCs w:val="20"/>
          <w:lang w:val="en-US"/>
        </w:rPr>
        <w:t xml:space="preserve">directly </w:t>
      </w:r>
      <w:r w:rsidRPr="00C848DE">
        <w:rPr>
          <w:rFonts w:ascii="Arial" w:hAnsi="Arial" w:cs="Arial"/>
          <w:sz w:val="20"/>
          <w:szCs w:val="20"/>
          <w:lang w:val="en-US"/>
        </w:rPr>
        <w:t xml:space="preserve">deliver </w:t>
      </w:r>
      <w:r w:rsidR="00FC0B78">
        <w:rPr>
          <w:rFonts w:ascii="Arial" w:hAnsi="Arial" w:cs="Arial"/>
          <w:sz w:val="20"/>
          <w:szCs w:val="20"/>
          <w:lang w:val="en-US"/>
        </w:rPr>
        <w:t xml:space="preserve">their injury </w:t>
      </w:r>
      <w:r w:rsidRPr="00C848DE">
        <w:rPr>
          <w:rFonts w:ascii="Arial" w:hAnsi="Arial" w:cs="Arial"/>
          <w:sz w:val="20"/>
          <w:szCs w:val="20"/>
          <w:lang w:val="en-US"/>
        </w:rPr>
        <w:t>data to the Consumer Safety Institute, where they are checked and processed. The collected data are analysed and reported by the CSI research department.</w:t>
      </w:r>
    </w:p>
    <w:p w:rsidR="002D58A0" w:rsidRPr="00C848DE" w:rsidRDefault="002D58A0" w:rsidP="007F3A6B">
      <w:pPr>
        <w:spacing w:line="260" w:lineRule="atLeast"/>
        <w:rPr>
          <w:rFonts w:ascii="Arial" w:hAnsi="Arial" w:cs="Arial"/>
          <w:sz w:val="20"/>
          <w:szCs w:val="20"/>
          <w:lang w:val="en-US"/>
        </w:rPr>
      </w:pPr>
    </w:p>
    <w:p w:rsidR="000B4DD5" w:rsidRPr="000C1B6C" w:rsidRDefault="000B4DD5" w:rsidP="000B4DD5">
      <w:pPr>
        <w:pStyle w:val="Geenafstand"/>
        <w:jc w:val="left"/>
        <w:rPr>
          <w:rFonts w:ascii="Arial" w:hAnsi="Arial" w:cs="Arial"/>
          <w:i/>
          <w:color w:val="0000FF"/>
          <w:sz w:val="20"/>
          <w:szCs w:val="20"/>
          <w:lang w:eastAsia="en-GB"/>
        </w:rPr>
      </w:pPr>
      <w:r w:rsidRPr="000C1B6C">
        <w:rPr>
          <w:rFonts w:ascii="Arial" w:hAnsi="Arial" w:cs="Arial"/>
          <w:i/>
          <w:color w:val="0000FF"/>
          <w:sz w:val="20"/>
          <w:szCs w:val="20"/>
          <w:lang w:eastAsia="en-GB"/>
        </w:rPr>
        <w:t>Use of data</w:t>
      </w:r>
    </w:p>
    <w:p w:rsidR="002D58A0" w:rsidRPr="00C848DE" w:rsidRDefault="002048CE" w:rsidP="007F3A6B">
      <w:pPr>
        <w:spacing w:line="260" w:lineRule="atLeast"/>
        <w:rPr>
          <w:rFonts w:ascii="Arial" w:hAnsi="Arial" w:cs="Arial"/>
          <w:sz w:val="20"/>
          <w:szCs w:val="20"/>
          <w:lang w:val="en-US"/>
        </w:rPr>
      </w:pPr>
      <w:r w:rsidRPr="00C848DE">
        <w:rPr>
          <w:rFonts w:ascii="Arial" w:hAnsi="Arial" w:cs="Arial"/>
          <w:sz w:val="20"/>
          <w:szCs w:val="20"/>
          <w:lang w:val="en-US"/>
        </w:rPr>
        <w:t xml:space="preserve">These injury data from </w:t>
      </w:r>
      <w:r w:rsidR="000B4DD5">
        <w:rPr>
          <w:rFonts w:ascii="Arial" w:hAnsi="Arial" w:cs="Arial"/>
          <w:sz w:val="20"/>
          <w:szCs w:val="20"/>
          <w:lang w:val="en-US"/>
        </w:rPr>
        <w:t>t</w:t>
      </w:r>
      <w:r w:rsidRPr="00C848DE">
        <w:rPr>
          <w:rFonts w:ascii="Arial" w:hAnsi="Arial" w:cs="Arial"/>
          <w:sz w:val="20"/>
          <w:szCs w:val="20"/>
          <w:lang w:val="en-US"/>
        </w:rPr>
        <w:t xml:space="preserve">he Netherlands have guided preventive action throughout this 30-year period. Besides an important estimation of </w:t>
      </w:r>
      <w:r w:rsidR="00BE387B" w:rsidRPr="00C848DE">
        <w:rPr>
          <w:rFonts w:ascii="Arial" w:hAnsi="Arial" w:cs="Arial"/>
          <w:sz w:val="20"/>
          <w:szCs w:val="20"/>
          <w:lang w:val="en-US"/>
        </w:rPr>
        <w:t xml:space="preserve">accidents </w:t>
      </w:r>
      <w:r w:rsidRPr="00C848DE">
        <w:rPr>
          <w:rFonts w:ascii="Arial" w:hAnsi="Arial" w:cs="Arial"/>
          <w:sz w:val="20"/>
          <w:szCs w:val="20"/>
          <w:lang w:val="en-US"/>
        </w:rPr>
        <w:t>in several</w:t>
      </w:r>
      <w:r w:rsidR="00BE387B" w:rsidRPr="00C848DE">
        <w:rPr>
          <w:rFonts w:ascii="Arial" w:hAnsi="Arial" w:cs="Arial"/>
          <w:sz w:val="20"/>
          <w:szCs w:val="20"/>
          <w:lang w:val="en-US"/>
        </w:rPr>
        <w:t xml:space="preserve"> injury fields,</w:t>
      </w:r>
      <w:r w:rsidRPr="00C848DE">
        <w:rPr>
          <w:rFonts w:ascii="Arial" w:hAnsi="Arial" w:cs="Arial"/>
          <w:sz w:val="20"/>
          <w:szCs w:val="20"/>
          <w:lang w:val="en-US"/>
        </w:rPr>
        <w:t xml:space="preserve"> DISS has directed policy towards different </w:t>
      </w:r>
      <w:r w:rsidR="00BE387B" w:rsidRPr="00C848DE">
        <w:rPr>
          <w:rFonts w:ascii="Arial" w:hAnsi="Arial" w:cs="Arial"/>
          <w:sz w:val="20"/>
          <w:szCs w:val="20"/>
          <w:lang w:val="en-US"/>
        </w:rPr>
        <w:t xml:space="preserve">injury </w:t>
      </w:r>
      <w:r w:rsidRPr="00C848DE">
        <w:rPr>
          <w:rFonts w:ascii="Arial" w:hAnsi="Arial" w:cs="Arial"/>
          <w:sz w:val="20"/>
          <w:szCs w:val="20"/>
          <w:lang w:val="en-US"/>
        </w:rPr>
        <w:t>risks for specific groups (e.g. falls in the elderly, child drownings)</w:t>
      </w:r>
      <w:r w:rsidR="002720C8" w:rsidRPr="00C848DE">
        <w:rPr>
          <w:rFonts w:ascii="Arial" w:hAnsi="Arial" w:cs="Arial"/>
          <w:sz w:val="20"/>
          <w:szCs w:val="20"/>
          <w:lang w:val="en-US"/>
        </w:rPr>
        <w:t>, trends (e.g. an increase in sports injuries, alcohol intoxications) and new developments like skateboarding or electric bicycles.</w:t>
      </w:r>
      <w:r w:rsidR="00BE387B" w:rsidRPr="00C848DE">
        <w:rPr>
          <w:rFonts w:ascii="Arial" w:hAnsi="Arial" w:cs="Arial"/>
          <w:sz w:val="20"/>
          <w:szCs w:val="20"/>
          <w:lang w:val="en-US"/>
        </w:rPr>
        <w:t xml:space="preserve"> Medical costs and cost from absente</w:t>
      </w:r>
      <w:r w:rsidR="00FC0B78">
        <w:rPr>
          <w:rFonts w:ascii="Arial" w:hAnsi="Arial" w:cs="Arial"/>
          <w:sz w:val="20"/>
          <w:szCs w:val="20"/>
          <w:lang w:val="en-US"/>
        </w:rPr>
        <w:t>e</w:t>
      </w:r>
      <w:r w:rsidR="00BE387B" w:rsidRPr="00C848DE">
        <w:rPr>
          <w:rFonts w:ascii="Arial" w:hAnsi="Arial" w:cs="Arial"/>
          <w:sz w:val="20"/>
          <w:szCs w:val="20"/>
          <w:lang w:val="en-US"/>
        </w:rPr>
        <w:t>ism from work resulting from injuries can additionally be calculated with ED-data from DISS.</w:t>
      </w:r>
    </w:p>
    <w:p w:rsidR="002D58A0" w:rsidRPr="00C848DE" w:rsidRDefault="002D58A0" w:rsidP="007F3A6B">
      <w:pPr>
        <w:spacing w:line="260" w:lineRule="atLeast"/>
        <w:rPr>
          <w:rFonts w:ascii="Arial" w:hAnsi="Arial" w:cs="Arial"/>
          <w:sz w:val="20"/>
          <w:szCs w:val="20"/>
          <w:lang w:val="en-US"/>
        </w:rPr>
      </w:pPr>
    </w:p>
    <w:p w:rsidR="002D58A0" w:rsidRPr="00C848DE" w:rsidRDefault="002720C8" w:rsidP="007F3A6B">
      <w:pPr>
        <w:spacing w:line="260" w:lineRule="atLeast"/>
        <w:rPr>
          <w:rFonts w:ascii="Arial" w:hAnsi="Arial" w:cs="Arial"/>
          <w:sz w:val="20"/>
          <w:szCs w:val="20"/>
          <w:lang w:val="en-US"/>
        </w:rPr>
      </w:pPr>
      <w:r w:rsidRPr="00C848DE">
        <w:rPr>
          <w:rFonts w:ascii="Arial" w:hAnsi="Arial" w:cs="Arial"/>
          <w:sz w:val="20"/>
          <w:szCs w:val="20"/>
          <w:lang w:val="en-US"/>
        </w:rPr>
        <w:t xml:space="preserve">Data are used by many stakholders. Several ministries </w:t>
      </w:r>
      <w:r w:rsidR="000B4DD5">
        <w:rPr>
          <w:rFonts w:ascii="Arial" w:hAnsi="Arial" w:cs="Arial"/>
          <w:sz w:val="20"/>
          <w:szCs w:val="20"/>
          <w:lang w:val="en-US"/>
        </w:rPr>
        <w:t>develop</w:t>
      </w:r>
      <w:r w:rsidRPr="00C848DE">
        <w:rPr>
          <w:rFonts w:ascii="Arial" w:hAnsi="Arial" w:cs="Arial"/>
          <w:sz w:val="20"/>
          <w:szCs w:val="20"/>
          <w:lang w:val="en-US"/>
        </w:rPr>
        <w:t xml:space="preserve"> most of their policy towards </w:t>
      </w:r>
      <w:r w:rsidR="00BE387B" w:rsidRPr="00C848DE">
        <w:rPr>
          <w:rFonts w:ascii="Arial" w:hAnsi="Arial" w:cs="Arial"/>
          <w:sz w:val="20"/>
          <w:szCs w:val="20"/>
          <w:lang w:val="en-US"/>
        </w:rPr>
        <w:t xml:space="preserve">prevention of </w:t>
      </w:r>
      <w:r w:rsidRPr="00C848DE">
        <w:rPr>
          <w:rFonts w:ascii="Arial" w:hAnsi="Arial" w:cs="Arial"/>
          <w:sz w:val="20"/>
          <w:szCs w:val="20"/>
          <w:lang w:val="en-US"/>
        </w:rPr>
        <w:t xml:space="preserve">injuries on </w:t>
      </w:r>
      <w:r w:rsidR="000B4DD5">
        <w:rPr>
          <w:rFonts w:ascii="Arial" w:hAnsi="Arial" w:cs="Arial"/>
          <w:sz w:val="20"/>
          <w:szCs w:val="20"/>
          <w:lang w:val="en-US"/>
        </w:rPr>
        <w:t>information</w:t>
      </w:r>
      <w:r w:rsidRPr="00C848DE">
        <w:rPr>
          <w:rFonts w:ascii="Arial" w:hAnsi="Arial" w:cs="Arial"/>
          <w:sz w:val="20"/>
          <w:szCs w:val="20"/>
          <w:lang w:val="en-US"/>
        </w:rPr>
        <w:t xml:space="preserve"> from the Injury Surveillance System. The ministry of Health </w:t>
      </w:r>
      <w:r w:rsidR="00BE387B" w:rsidRPr="00C848DE">
        <w:rPr>
          <w:rFonts w:ascii="Arial" w:hAnsi="Arial" w:cs="Arial"/>
          <w:sz w:val="20"/>
          <w:szCs w:val="20"/>
          <w:lang w:val="en-US"/>
        </w:rPr>
        <w:t>based</w:t>
      </w:r>
      <w:r w:rsidRPr="00C848DE">
        <w:rPr>
          <w:rFonts w:ascii="Arial" w:hAnsi="Arial" w:cs="Arial"/>
          <w:sz w:val="20"/>
          <w:szCs w:val="20"/>
          <w:lang w:val="en-US"/>
        </w:rPr>
        <w:t xml:space="preserve"> preve</w:t>
      </w:r>
      <w:r w:rsidR="000B4DD5">
        <w:rPr>
          <w:rFonts w:ascii="Arial" w:hAnsi="Arial" w:cs="Arial"/>
          <w:sz w:val="20"/>
          <w:szCs w:val="20"/>
          <w:lang w:val="en-US"/>
        </w:rPr>
        <w:t xml:space="preserve">ntion of sports injuries on data </w:t>
      </w:r>
      <w:r w:rsidRPr="00C848DE">
        <w:rPr>
          <w:rFonts w:ascii="Arial" w:hAnsi="Arial" w:cs="Arial"/>
          <w:sz w:val="20"/>
          <w:szCs w:val="20"/>
          <w:lang w:val="en-US"/>
        </w:rPr>
        <w:t>from DISS</w:t>
      </w:r>
      <w:r w:rsidR="00BE387B" w:rsidRPr="00C848DE">
        <w:rPr>
          <w:rFonts w:ascii="Arial" w:hAnsi="Arial" w:cs="Arial"/>
          <w:sz w:val="20"/>
          <w:szCs w:val="20"/>
          <w:lang w:val="en-US"/>
        </w:rPr>
        <w:t xml:space="preserve"> for many years</w:t>
      </w:r>
      <w:r w:rsidRPr="00C848DE">
        <w:rPr>
          <w:rFonts w:ascii="Arial" w:hAnsi="Arial" w:cs="Arial"/>
          <w:sz w:val="20"/>
          <w:szCs w:val="20"/>
          <w:lang w:val="en-US"/>
        </w:rPr>
        <w:t xml:space="preserve">. The ministry of Infrastructure </w:t>
      </w:r>
      <w:r w:rsidR="00FC0B78">
        <w:rPr>
          <w:rFonts w:ascii="Arial" w:hAnsi="Arial" w:cs="Arial"/>
          <w:sz w:val="20"/>
          <w:szCs w:val="20"/>
          <w:lang w:val="en-US"/>
        </w:rPr>
        <w:t xml:space="preserve">and Environment </w:t>
      </w:r>
      <w:r w:rsidRPr="00C848DE">
        <w:rPr>
          <w:rFonts w:ascii="Arial" w:hAnsi="Arial" w:cs="Arial"/>
          <w:sz w:val="20"/>
          <w:szCs w:val="20"/>
          <w:lang w:val="en-US"/>
        </w:rPr>
        <w:t xml:space="preserve">uses injury data </w:t>
      </w:r>
      <w:r w:rsidR="000B4DD5">
        <w:rPr>
          <w:rFonts w:ascii="Arial" w:hAnsi="Arial" w:cs="Arial"/>
          <w:sz w:val="20"/>
          <w:szCs w:val="20"/>
          <w:lang w:val="en-US"/>
        </w:rPr>
        <w:t xml:space="preserve">collected around </w:t>
      </w:r>
      <w:r w:rsidRPr="00C848DE">
        <w:rPr>
          <w:rFonts w:ascii="Arial" w:hAnsi="Arial" w:cs="Arial"/>
          <w:sz w:val="20"/>
          <w:szCs w:val="20"/>
          <w:lang w:val="en-US"/>
        </w:rPr>
        <w:t>New Year’s Eve to monitor fireworks</w:t>
      </w:r>
      <w:r w:rsidR="000B4DD5">
        <w:rPr>
          <w:rFonts w:ascii="Arial" w:hAnsi="Arial" w:cs="Arial"/>
          <w:sz w:val="20"/>
          <w:szCs w:val="20"/>
          <w:lang w:val="en-US"/>
        </w:rPr>
        <w:t>-related injuries</w:t>
      </w:r>
      <w:r w:rsidRPr="00C848DE">
        <w:rPr>
          <w:rFonts w:ascii="Arial" w:hAnsi="Arial" w:cs="Arial"/>
          <w:sz w:val="20"/>
          <w:szCs w:val="20"/>
          <w:lang w:val="en-US"/>
        </w:rPr>
        <w:t xml:space="preserve">. </w:t>
      </w:r>
      <w:r w:rsidR="008C6B2B" w:rsidRPr="00C848DE">
        <w:rPr>
          <w:rFonts w:ascii="Arial" w:hAnsi="Arial" w:cs="Arial"/>
          <w:sz w:val="20"/>
          <w:szCs w:val="20"/>
          <w:lang w:val="en-US"/>
        </w:rPr>
        <w:t>The Consumer Safety Inst</w:t>
      </w:r>
      <w:r w:rsidR="002454CB" w:rsidRPr="00C848DE">
        <w:rPr>
          <w:rFonts w:ascii="Arial" w:hAnsi="Arial" w:cs="Arial"/>
          <w:sz w:val="20"/>
          <w:szCs w:val="20"/>
          <w:lang w:val="en-US"/>
        </w:rPr>
        <w:t>i</w:t>
      </w:r>
      <w:r w:rsidR="008C6B2B" w:rsidRPr="00C848DE">
        <w:rPr>
          <w:rFonts w:ascii="Arial" w:hAnsi="Arial" w:cs="Arial"/>
          <w:sz w:val="20"/>
          <w:szCs w:val="20"/>
          <w:lang w:val="en-US"/>
        </w:rPr>
        <w:t>tute itself based numerous preventive interventions on the information from DISS</w:t>
      </w:r>
      <w:r w:rsidR="00BE387B" w:rsidRPr="00C848DE">
        <w:rPr>
          <w:rFonts w:ascii="Arial" w:hAnsi="Arial" w:cs="Arial"/>
          <w:sz w:val="20"/>
          <w:szCs w:val="20"/>
          <w:lang w:val="en-US"/>
        </w:rPr>
        <w:t xml:space="preserve">, for example prevention of child falls, </w:t>
      </w:r>
      <w:r w:rsidR="00FC0B78">
        <w:rPr>
          <w:rFonts w:ascii="Arial" w:hAnsi="Arial" w:cs="Arial"/>
          <w:sz w:val="20"/>
          <w:szCs w:val="20"/>
          <w:lang w:val="en-US"/>
        </w:rPr>
        <w:t xml:space="preserve">drownings, </w:t>
      </w:r>
      <w:r w:rsidR="00BE387B" w:rsidRPr="00C848DE">
        <w:rPr>
          <w:rFonts w:ascii="Arial" w:hAnsi="Arial" w:cs="Arial"/>
          <w:sz w:val="20"/>
          <w:szCs w:val="20"/>
          <w:lang w:val="en-US"/>
        </w:rPr>
        <w:t>i</w:t>
      </w:r>
      <w:r w:rsidR="002454CB" w:rsidRPr="00C848DE">
        <w:rPr>
          <w:rFonts w:ascii="Arial" w:hAnsi="Arial" w:cs="Arial"/>
          <w:sz w:val="20"/>
          <w:szCs w:val="20"/>
          <w:lang w:val="en-US"/>
        </w:rPr>
        <w:t>ntoxications and injuries through</w:t>
      </w:r>
      <w:r w:rsidR="00BE387B" w:rsidRPr="00C848DE">
        <w:rPr>
          <w:rFonts w:ascii="Arial" w:hAnsi="Arial" w:cs="Arial"/>
          <w:sz w:val="20"/>
          <w:szCs w:val="20"/>
          <w:lang w:val="en-US"/>
        </w:rPr>
        <w:t xml:space="preserve"> falls</w:t>
      </w:r>
      <w:r w:rsidR="002454CB" w:rsidRPr="00C848DE">
        <w:rPr>
          <w:rFonts w:ascii="Arial" w:hAnsi="Arial" w:cs="Arial"/>
          <w:sz w:val="20"/>
          <w:szCs w:val="20"/>
          <w:lang w:val="en-US"/>
        </w:rPr>
        <w:t xml:space="preserve"> in the elderly</w:t>
      </w:r>
      <w:r w:rsidR="008C6B2B" w:rsidRPr="00C848DE">
        <w:rPr>
          <w:rFonts w:ascii="Arial" w:hAnsi="Arial" w:cs="Arial"/>
          <w:sz w:val="20"/>
          <w:szCs w:val="20"/>
          <w:lang w:val="en-US"/>
        </w:rPr>
        <w:t xml:space="preserve">. In addition, media welcome data on Emergency Department treatments to put news articles in perspective, like </w:t>
      </w:r>
      <w:r w:rsidR="002454CB" w:rsidRPr="00C848DE">
        <w:rPr>
          <w:rFonts w:ascii="Arial" w:hAnsi="Arial" w:cs="Arial"/>
          <w:sz w:val="20"/>
          <w:szCs w:val="20"/>
          <w:lang w:val="en-US"/>
        </w:rPr>
        <w:t xml:space="preserve">ED </w:t>
      </w:r>
      <w:r w:rsidR="008C6B2B" w:rsidRPr="00C848DE">
        <w:rPr>
          <w:rFonts w:ascii="Arial" w:hAnsi="Arial" w:cs="Arial"/>
          <w:sz w:val="20"/>
          <w:szCs w:val="20"/>
          <w:lang w:val="en-US"/>
        </w:rPr>
        <w:t>information on traffic accidents, drug</w:t>
      </w:r>
      <w:r w:rsidR="000B4DD5">
        <w:rPr>
          <w:rFonts w:ascii="Arial" w:hAnsi="Arial" w:cs="Arial"/>
          <w:sz w:val="20"/>
          <w:szCs w:val="20"/>
          <w:lang w:val="en-US"/>
        </w:rPr>
        <w:t>s-related</w:t>
      </w:r>
      <w:r w:rsidR="008C6B2B" w:rsidRPr="00C848DE">
        <w:rPr>
          <w:rFonts w:ascii="Arial" w:hAnsi="Arial" w:cs="Arial"/>
          <w:sz w:val="20"/>
          <w:szCs w:val="20"/>
          <w:lang w:val="en-US"/>
        </w:rPr>
        <w:t xml:space="preserve"> incidents, sports injuries, and the like.</w:t>
      </w:r>
    </w:p>
    <w:p w:rsidR="002D58A0" w:rsidRPr="00C848DE" w:rsidRDefault="002D58A0" w:rsidP="007F3A6B">
      <w:pPr>
        <w:spacing w:line="260" w:lineRule="atLeast"/>
        <w:rPr>
          <w:rFonts w:ascii="Arial" w:hAnsi="Arial" w:cs="Arial"/>
          <w:sz w:val="20"/>
          <w:szCs w:val="20"/>
          <w:lang w:val="en-US"/>
        </w:rPr>
      </w:pPr>
    </w:p>
    <w:p w:rsidR="00242CFD" w:rsidRDefault="00242CFD" w:rsidP="000B4DD5">
      <w:pPr>
        <w:pStyle w:val="Geenafstand"/>
        <w:jc w:val="left"/>
        <w:rPr>
          <w:rFonts w:ascii="Arial" w:hAnsi="Arial" w:cs="Arial"/>
          <w:i/>
          <w:color w:val="0000FF"/>
          <w:sz w:val="20"/>
          <w:szCs w:val="20"/>
          <w:lang w:eastAsia="en-GB"/>
        </w:rPr>
      </w:pPr>
    </w:p>
    <w:p w:rsidR="00242CFD" w:rsidRDefault="00242CFD" w:rsidP="000B4DD5">
      <w:pPr>
        <w:pStyle w:val="Geenafstand"/>
        <w:jc w:val="left"/>
        <w:rPr>
          <w:rFonts w:ascii="Arial" w:hAnsi="Arial" w:cs="Arial"/>
          <w:i/>
          <w:color w:val="0000FF"/>
          <w:sz w:val="20"/>
          <w:szCs w:val="20"/>
          <w:lang w:eastAsia="en-GB"/>
        </w:rPr>
      </w:pPr>
    </w:p>
    <w:p w:rsidR="000B4DD5" w:rsidRPr="000C1B6C" w:rsidRDefault="000B4DD5" w:rsidP="000B4DD5">
      <w:pPr>
        <w:pStyle w:val="Geenafstand"/>
        <w:jc w:val="left"/>
        <w:rPr>
          <w:rFonts w:ascii="Arial" w:hAnsi="Arial" w:cs="Arial"/>
          <w:color w:val="auto"/>
          <w:sz w:val="20"/>
          <w:szCs w:val="20"/>
        </w:rPr>
      </w:pPr>
      <w:r w:rsidRPr="000C1B6C">
        <w:rPr>
          <w:rFonts w:ascii="Arial" w:hAnsi="Arial" w:cs="Arial"/>
          <w:i/>
          <w:color w:val="0000FF"/>
          <w:sz w:val="20"/>
          <w:szCs w:val="20"/>
          <w:lang w:eastAsia="en-GB"/>
        </w:rPr>
        <w:lastRenderedPageBreak/>
        <w:t>Future outlook</w:t>
      </w:r>
      <w:r w:rsidRPr="000C1B6C">
        <w:rPr>
          <w:rFonts w:ascii="Arial" w:hAnsi="Arial" w:cs="Arial"/>
          <w:color w:val="auto"/>
          <w:sz w:val="20"/>
          <w:szCs w:val="20"/>
        </w:rPr>
        <w:t xml:space="preserve"> </w:t>
      </w:r>
    </w:p>
    <w:p w:rsidR="002D58A0" w:rsidRPr="00C848DE" w:rsidRDefault="008C6B2B" w:rsidP="007F3A6B">
      <w:pPr>
        <w:spacing w:line="260" w:lineRule="atLeast"/>
        <w:rPr>
          <w:rFonts w:ascii="Arial" w:hAnsi="Arial" w:cs="Arial"/>
          <w:sz w:val="20"/>
          <w:szCs w:val="20"/>
          <w:lang w:val="en-US"/>
        </w:rPr>
      </w:pPr>
      <w:r w:rsidRPr="00C848DE">
        <w:rPr>
          <w:rFonts w:ascii="Arial" w:hAnsi="Arial" w:cs="Arial"/>
          <w:sz w:val="20"/>
          <w:szCs w:val="20"/>
          <w:lang w:val="en-US"/>
        </w:rPr>
        <w:t xml:space="preserve">In recent years, new developments have been started, in order to improve </w:t>
      </w:r>
      <w:r w:rsidR="000B4DD5">
        <w:rPr>
          <w:rFonts w:ascii="Arial" w:hAnsi="Arial" w:cs="Arial"/>
          <w:sz w:val="20"/>
          <w:szCs w:val="20"/>
          <w:lang w:val="en-US"/>
        </w:rPr>
        <w:t>the quality of the collected information</w:t>
      </w:r>
      <w:r w:rsidRPr="00C848DE">
        <w:rPr>
          <w:rFonts w:ascii="Arial" w:hAnsi="Arial" w:cs="Arial"/>
          <w:sz w:val="20"/>
          <w:szCs w:val="20"/>
          <w:lang w:val="en-US"/>
        </w:rPr>
        <w:t xml:space="preserve"> and minimize the actual work load in the hospitals themselves. Currently, DISS hospitals are gradually adapting their registration to a new system, where hospitals only deliver data that are already registered in their own hospital system, accompanied by </w:t>
      </w:r>
      <w:r w:rsidR="00BE387B" w:rsidRPr="00C848DE">
        <w:rPr>
          <w:rFonts w:ascii="Arial" w:hAnsi="Arial" w:cs="Arial"/>
          <w:sz w:val="20"/>
          <w:szCs w:val="20"/>
          <w:lang w:val="en-US"/>
        </w:rPr>
        <w:t>an extensive</w:t>
      </w:r>
      <w:r w:rsidRPr="00C848DE">
        <w:rPr>
          <w:rFonts w:ascii="Arial" w:hAnsi="Arial" w:cs="Arial"/>
          <w:sz w:val="20"/>
          <w:szCs w:val="20"/>
          <w:lang w:val="en-US"/>
        </w:rPr>
        <w:t xml:space="preserve"> injury narrative.</w:t>
      </w:r>
      <w:r w:rsidR="005B3B5F" w:rsidRPr="00C848DE">
        <w:rPr>
          <w:rFonts w:ascii="Arial" w:hAnsi="Arial" w:cs="Arial"/>
          <w:sz w:val="20"/>
          <w:szCs w:val="20"/>
          <w:lang w:val="en-US"/>
        </w:rPr>
        <w:t xml:space="preserve"> Through text anal</w:t>
      </w:r>
      <w:r w:rsidR="00BE387B" w:rsidRPr="00C848DE">
        <w:rPr>
          <w:rFonts w:ascii="Arial" w:hAnsi="Arial" w:cs="Arial"/>
          <w:sz w:val="20"/>
          <w:szCs w:val="20"/>
          <w:lang w:val="en-US"/>
        </w:rPr>
        <w:t>ysis, this</w:t>
      </w:r>
      <w:r w:rsidR="005B3B5F" w:rsidRPr="00C848DE">
        <w:rPr>
          <w:rFonts w:ascii="Arial" w:hAnsi="Arial" w:cs="Arial"/>
          <w:sz w:val="20"/>
          <w:szCs w:val="20"/>
          <w:lang w:val="en-US"/>
        </w:rPr>
        <w:t xml:space="preserve"> narrative delivers all further information, which is automatically coded into the relevant variables. With this new approach,  collection, checking and processing of injury data is standardized (no bias resulting from different coders) and will take less time and effort, both for hospital staff as fo</w:t>
      </w:r>
      <w:r w:rsidR="00BE387B" w:rsidRPr="00C848DE">
        <w:rPr>
          <w:rFonts w:ascii="Arial" w:hAnsi="Arial" w:cs="Arial"/>
          <w:sz w:val="20"/>
          <w:szCs w:val="20"/>
          <w:lang w:val="en-US"/>
        </w:rPr>
        <w:t>r the Consumer Safety Institute, in the future.</w:t>
      </w:r>
      <w:r w:rsidR="002454CB" w:rsidRPr="00C848DE">
        <w:rPr>
          <w:rFonts w:ascii="Arial" w:hAnsi="Arial" w:cs="Arial"/>
          <w:sz w:val="20"/>
          <w:szCs w:val="20"/>
          <w:lang w:val="en-US"/>
        </w:rPr>
        <w:t xml:space="preserve"> A further increase in the number of hospitals in the Injury Surveillance System is in progress.</w:t>
      </w:r>
    </w:p>
    <w:p w:rsidR="002D58A0" w:rsidRDefault="002D58A0" w:rsidP="007F3A6B">
      <w:pPr>
        <w:spacing w:line="260" w:lineRule="atLeast"/>
        <w:rPr>
          <w:rFonts w:ascii="Arial" w:hAnsi="Arial" w:cs="Arial"/>
          <w:sz w:val="20"/>
          <w:szCs w:val="20"/>
          <w:lang w:val="en-US"/>
        </w:rPr>
      </w:pPr>
    </w:p>
    <w:p w:rsidR="00B15B27" w:rsidRPr="00C848DE" w:rsidRDefault="00B15B27" w:rsidP="007F3A6B">
      <w:pPr>
        <w:spacing w:line="260" w:lineRule="atLeast"/>
        <w:rPr>
          <w:rFonts w:ascii="Arial" w:hAnsi="Arial" w:cs="Arial"/>
          <w:sz w:val="20"/>
          <w:szCs w:val="20"/>
          <w:lang w:val="en-US"/>
        </w:rPr>
      </w:pPr>
    </w:p>
    <w:p w:rsidR="000B4DD5" w:rsidRDefault="000B4DD5" w:rsidP="007F3A6B">
      <w:pPr>
        <w:spacing w:line="260" w:lineRule="atLeast"/>
        <w:rPr>
          <w:rFonts w:ascii="Arial" w:hAnsi="Arial" w:cs="Arial"/>
          <w:b/>
          <w:sz w:val="20"/>
          <w:szCs w:val="20"/>
        </w:rPr>
      </w:pPr>
    </w:p>
    <w:p w:rsidR="000B4DD5" w:rsidRDefault="000B4DD5" w:rsidP="007F3A6B">
      <w:pPr>
        <w:spacing w:line="260" w:lineRule="atLeast"/>
        <w:rPr>
          <w:rFonts w:ascii="Arial" w:hAnsi="Arial" w:cs="Arial"/>
          <w:color w:val="0000FF"/>
          <w:sz w:val="20"/>
          <w:szCs w:val="20"/>
          <w:lang w:val="lb-LU"/>
        </w:rPr>
      </w:pPr>
      <w:r w:rsidRPr="000C1B6C">
        <w:rPr>
          <w:rFonts w:ascii="Arial" w:hAnsi="Arial" w:cs="Arial"/>
          <w:color w:val="0000FF"/>
          <w:sz w:val="20"/>
          <w:szCs w:val="20"/>
          <w:lang w:val="lb-LU"/>
        </w:rPr>
        <w:t xml:space="preserve">More information: </w:t>
      </w:r>
    </w:p>
    <w:p w:rsidR="000B4DD5" w:rsidRPr="00242CFD" w:rsidRDefault="00242CFD" w:rsidP="007F3A6B">
      <w:pPr>
        <w:spacing w:line="260" w:lineRule="atLeast"/>
        <w:rPr>
          <w:rFonts w:ascii="Arial" w:hAnsi="Arial" w:cs="Arial"/>
          <w:color w:val="0000FF"/>
          <w:sz w:val="20"/>
          <w:szCs w:val="20"/>
          <w:lang w:val="en-GB"/>
        </w:rPr>
      </w:pPr>
      <w:r w:rsidRPr="00242CFD">
        <w:rPr>
          <w:rFonts w:ascii="Arial" w:hAnsi="Arial" w:cs="Arial"/>
          <w:sz w:val="20"/>
          <w:szCs w:val="20"/>
          <w:lang w:val="en-GB"/>
        </w:rPr>
        <w:t>h.valkenberg@veiligheid.nl</w:t>
      </w:r>
    </w:p>
    <w:p w:rsidR="000B4DD5" w:rsidRDefault="000B4DD5" w:rsidP="007F3A6B">
      <w:pPr>
        <w:spacing w:line="260" w:lineRule="atLeast"/>
        <w:rPr>
          <w:rFonts w:ascii="Arial" w:hAnsi="Arial" w:cs="Arial"/>
          <w:color w:val="0000FF"/>
          <w:sz w:val="20"/>
          <w:szCs w:val="20"/>
          <w:lang w:val="lb-LU"/>
        </w:rPr>
      </w:pPr>
    </w:p>
    <w:p w:rsidR="00242CFD" w:rsidRDefault="00242CFD" w:rsidP="007F3A6B">
      <w:pPr>
        <w:spacing w:line="260" w:lineRule="atLeast"/>
        <w:rPr>
          <w:rFonts w:ascii="Arial" w:hAnsi="Arial" w:cs="Arial"/>
          <w:color w:val="0000FF"/>
          <w:sz w:val="20"/>
          <w:szCs w:val="20"/>
          <w:lang w:val="lb-LU"/>
        </w:rPr>
      </w:pPr>
      <w:r>
        <w:rPr>
          <w:lang w:val="en-GB" w:eastAsia="en-GB"/>
        </w:rPr>
        <w:drawing>
          <wp:inline distT="0" distB="0" distL="0" distR="0">
            <wp:extent cx="2381250" cy="425450"/>
            <wp:effectExtent l="0" t="0" r="0" b="0"/>
            <wp:docPr id="2" name="Afbeelding 2" descr="https://www.veiligheid.nl/veiligheid/website.nsf/img/logo-veilig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veiligheid.nl/veiligheid/website.nsf/img/logo-veilighei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425450"/>
                    </a:xfrm>
                    <a:prstGeom prst="rect">
                      <a:avLst/>
                    </a:prstGeom>
                    <a:noFill/>
                    <a:ln>
                      <a:noFill/>
                    </a:ln>
                  </pic:spPr>
                </pic:pic>
              </a:graphicData>
            </a:graphic>
          </wp:inline>
        </w:drawing>
      </w:r>
    </w:p>
    <w:p w:rsidR="00242CFD" w:rsidRDefault="00242CFD" w:rsidP="007F3A6B">
      <w:pPr>
        <w:spacing w:line="260" w:lineRule="atLeast"/>
        <w:rPr>
          <w:rFonts w:ascii="Arial" w:hAnsi="Arial" w:cs="Arial"/>
          <w:color w:val="0000FF"/>
          <w:sz w:val="20"/>
          <w:szCs w:val="20"/>
          <w:lang w:val="lb-LU"/>
        </w:rPr>
      </w:pPr>
    </w:p>
    <w:p w:rsidR="00242CFD" w:rsidRDefault="00242CFD" w:rsidP="007F3A6B">
      <w:pPr>
        <w:spacing w:line="260" w:lineRule="atLeast"/>
        <w:rPr>
          <w:rFonts w:ascii="Arial" w:hAnsi="Arial" w:cs="Arial"/>
          <w:color w:val="0000FF"/>
          <w:sz w:val="20"/>
          <w:szCs w:val="20"/>
          <w:lang w:val="lb-LU"/>
        </w:rPr>
      </w:pPr>
    </w:p>
    <w:p w:rsidR="000B4DD5" w:rsidRDefault="000B4DD5" w:rsidP="000B4DD5">
      <w:pPr>
        <w:pStyle w:val="Geenafstand"/>
        <w:rPr>
          <w:rFonts w:ascii="Arial" w:hAnsi="Arial" w:cs="Arial"/>
          <w:i/>
          <w:color w:val="0000FF"/>
          <w:sz w:val="20"/>
          <w:szCs w:val="20"/>
        </w:rPr>
      </w:pPr>
      <w:r w:rsidRPr="00B41964">
        <w:rPr>
          <w:rFonts w:ascii="Arial" w:hAnsi="Arial" w:cs="Arial"/>
          <w:i/>
          <w:color w:val="0000FF"/>
          <w:sz w:val="20"/>
          <w:szCs w:val="20"/>
        </w:rPr>
        <w:t>IDB-related publications:</w:t>
      </w:r>
    </w:p>
    <w:p w:rsidR="00242CFD" w:rsidRPr="00B41964" w:rsidRDefault="00242CFD" w:rsidP="000B4DD5">
      <w:pPr>
        <w:pStyle w:val="Geenafstand"/>
        <w:rPr>
          <w:rFonts w:ascii="Arial" w:hAnsi="Arial" w:cs="Arial"/>
          <w:i/>
          <w:sz w:val="20"/>
          <w:szCs w:val="20"/>
        </w:rPr>
      </w:pPr>
    </w:p>
    <w:p w:rsidR="000B4DD5" w:rsidRPr="00242CFD" w:rsidRDefault="000B4DD5" w:rsidP="007F3A6B">
      <w:pPr>
        <w:spacing w:line="260" w:lineRule="atLeast"/>
        <w:rPr>
          <w:rFonts w:ascii="Arial" w:hAnsi="Arial" w:cs="Arial"/>
          <w:sz w:val="16"/>
          <w:szCs w:val="16"/>
          <w:lang w:val="en-GB"/>
        </w:rPr>
      </w:pPr>
      <w:r w:rsidRPr="00242CFD">
        <w:rPr>
          <w:rFonts w:ascii="Arial" w:hAnsi="Arial" w:cs="Arial"/>
          <w:sz w:val="16"/>
          <w:szCs w:val="16"/>
          <w:lang w:val="en-GB"/>
        </w:rPr>
        <w:t>K</w:t>
      </w:r>
      <w:r w:rsidR="00C848DE" w:rsidRPr="00242CFD">
        <w:rPr>
          <w:rFonts w:ascii="Arial" w:hAnsi="Arial" w:cs="Arial"/>
          <w:sz w:val="16"/>
          <w:szCs w:val="16"/>
          <w:lang w:val="en-GB"/>
        </w:rPr>
        <w:t>erncijfers LIS</w:t>
      </w:r>
      <w:r w:rsidRPr="00242CFD">
        <w:rPr>
          <w:rFonts w:ascii="Arial" w:hAnsi="Arial" w:cs="Arial"/>
          <w:sz w:val="16"/>
          <w:szCs w:val="16"/>
          <w:lang w:val="en-GB"/>
        </w:rPr>
        <w:t xml:space="preserve"> (Key figures DISS)</w:t>
      </w:r>
    </w:p>
    <w:p w:rsidR="002454CB" w:rsidRPr="00242CFD" w:rsidRDefault="00A418D8" w:rsidP="007F3A6B">
      <w:pPr>
        <w:spacing w:line="260" w:lineRule="atLeast"/>
        <w:rPr>
          <w:rFonts w:ascii="Arial" w:hAnsi="Arial" w:cs="Arial"/>
          <w:sz w:val="16"/>
          <w:szCs w:val="16"/>
          <w:lang w:val="en-GB"/>
        </w:rPr>
      </w:pPr>
      <w:hyperlink r:id="rId8" w:history="1">
        <w:r w:rsidR="00C848DE" w:rsidRPr="00242CFD">
          <w:rPr>
            <w:rStyle w:val="Hyperlink"/>
            <w:rFonts w:ascii="Arial" w:hAnsi="Arial" w:cs="Arial"/>
            <w:sz w:val="16"/>
            <w:szCs w:val="16"/>
            <w:lang w:val="en-GB"/>
          </w:rPr>
          <w:t>https://www.veiligheid.nl/organisatie/actueel/nieuws/ruim-2-miljoen-seh-bezoeken-in-2015</w:t>
        </w:r>
      </w:hyperlink>
    </w:p>
    <w:p w:rsidR="00C848DE" w:rsidRPr="00242CFD" w:rsidRDefault="00C848DE" w:rsidP="007F3A6B">
      <w:pPr>
        <w:spacing w:line="260" w:lineRule="atLeast"/>
        <w:rPr>
          <w:rFonts w:ascii="Arial" w:hAnsi="Arial" w:cs="Arial"/>
          <w:sz w:val="16"/>
          <w:szCs w:val="16"/>
        </w:rPr>
      </w:pPr>
      <w:r w:rsidRPr="00242CFD">
        <w:rPr>
          <w:rFonts w:ascii="Arial" w:hAnsi="Arial" w:cs="Arial"/>
          <w:sz w:val="16"/>
          <w:szCs w:val="16"/>
        </w:rPr>
        <w:t>Vuurwerkongevallen type vuurwerk en letsel 2015-2016</w:t>
      </w:r>
      <w:r w:rsidR="00242CFD" w:rsidRPr="00242CFD">
        <w:rPr>
          <w:rFonts w:ascii="Arial" w:hAnsi="Arial" w:cs="Arial"/>
          <w:sz w:val="16"/>
          <w:szCs w:val="16"/>
        </w:rPr>
        <w:t xml:space="preserve"> (Fireworks-related injuries)</w:t>
      </w:r>
    </w:p>
    <w:p w:rsidR="002454CB" w:rsidRPr="00242CFD" w:rsidRDefault="00A418D8" w:rsidP="007F3A6B">
      <w:pPr>
        <w:spacing w:line="260" w:lineRule="atLeast"/>
        <w:rPr>
          <w:rFonts w:ascii="Arial" w:hAnsi="Arial" w:cs="Arial"/>
          <w:sz w:val="16"/>
          <w:szCs w:val="16"/>
        </w:rPr>
      </w:pPr>
      <w:hyperlink r:id="rId9" w:history="1">
        <w:r w:rsidR="00C848DE" w:rsidRPr="00242CFD">
          <w:rPr>
            <w:rStyle w:val="Hyperlink"/>
            <w:rFonts w:ascii="Arial" w:hAnsi="Arial" w:cs="Arial"/>
            <w:sz w:val="16"/>
            <w:szCs w:val="16"/>
          </w:rPr>
          <w:t>https://www.veiligheid.nl/organisatie/actueel/nieuws/opnieuw-fors-minder-vuurwerkslachtoffers</w:t>
        </w:r>
      </w:hyperlink>
    </w:p>
    <w:p w:rsidR="00AC4028" w:rsidRPr="00242CFD" w:rsidRDefault="00AC4028" w:rsidP="007F3A6B">
      <w:pPr>
        <w:spacing w:line="260" w:lineRule="atLeast"/>
        <w:rPr>
          <w:rFonts w:ascii="Arial" w:hAnsi="Arial" w:cs="Arial"/>
          <w:sz w:val="16"/>
          <w:szCs w:val="16"/>
        </w:rPr>
      </w:pPr>
      <w:r w:rsidRPr="00242CFD">
        <w:rPr>
          <w:rFonts w:ascii="Arial" w:hAnsi="Arial" w:cs="Arial"/>
          <w:sz w:val="16"/>
          <w:szCs w:val="16"/>
        </w:rPr>
        <w:t>Alcoholvergiftig</w:t>
      </w:r>
      <w:r w:rsidR="00242CFD" w:rsidRPr="00242CFD">
        <w:rPr>
          <w:rFonts w:ascii="Arial" w:hAnsi="Arial" w:cs="Arial"/>
          <w:sz w:val="16"/>
          <w:szCs w:val="16"/>
        </w:rPr>
        <w:t>ingen en ongevallen met alcohol (Alcohol-related incidents).</w:t>
      </w:r>
      <w:r w:rsidRPr="00242CFD">
        <w:rPr>
          <w:rFonts w:ascii="Arial" w:hAnsi="Arial" w:cs="Arial"/>
          <w:sz w:val="16"/>
          <w:szCs w:val="16"/>
        </w:rPr>
        <w:t xml:space="preserve"> </w:t>
      </w:r>
    </w:p>
    <w:p w:rsidR="00C848DE" w:rsidRPr="00242CFD" w:rsidRDefault="00242CFD" w:rsidP="007F3A6B">
      <w:pPr>
        <w:spacing w:line="260" w:lineRule="atLeast"/>
        <w:rPr>
          <w:rFonts w:ascii="Arial" w:hAnsi="Arial" w:cs="Arial"/>
          <w:sz w:val="16"/>
          <w:szCs w:val="16"/>
        </w:rPr>
      </w:pPr>
      <w:hyperlink r:id="rId10" w:history="1">
        <w:r w:rsidRPr="00242CFD">
          <w:rPr>
            <w:rStyle w:val="Hyperlink"/>
            <w:rFonts w:ascii="Arial" w:hAnsi="Arial" w:cs="Arial"/>
            <w:sz w:val="16"/>
            <w:szCs w:val="16"/>
          </w:rPr>
          <w:t>https://www.veiligheid.nl/organisatie/actueel/nieuws/alcoholvergiftiging-op-de-seh-in-2015-weer-gestegen</w:t>
        </w:r>
      </w:hyperlink>
    </w:p>
    <w:p w:rsidR="00C848DE" w:rsidRPr="00242CFD" w:rsidRDefault="00AC4028" w:rsidP="007F3A6B">
      <w:pPr>
        <w:spacing w:line="260" w:lineRule="atLeast"/>
        <w:rPr>
          <w:rFonts w:ascii="Arial" w:hAnsi="Arial" w:cs="Arial"/>
          <w:sz w:val="16"/>
          <w:szCs w:val="16"/>
        </w:rPr>
      </w:pPr>
      <w:r w:rsidRPr="00242CFD">
        <w:rPr>
          <w:rFonts w:ascii="Arial" w:hAnsi="Arial" w:cs="Arial"/>
          <w:sz w:val="16"/>
          <w:szCs w:val="16"/>
        </w:rPr>
        <w:t>65 jaar en ouder</w:t>
      </w:r>
      <w:r w:rsidR="00242CFD" w:rsidRPr="00242CFD">
        <w:rPr>
          <w:rFonts w:ascii="Arial" w:hAnsi="Arial" w:cs="Arial"/>
          <w:sz w:val="16"/>
          <w:szCs w:val="16"/>
        </w:rPr>
        <w:t xml:space="preserve"> (Falls in older people)</w:t>
      </w:r>
      <w:r w:rsidRPr="00242CFD">
        <w:rPr>
          <w:rFonts w:ascii="Arial" w:hAnsi="Arial" w:cs="Arial"/>
          <w:sz w:val="16"/>
          <w:szCs w:val="16"/>
        </w:rPr>
        <w:t>.</w:t>
      </w:r>
    </w:p>
    <w:p w:rsidR="00AC4028" w:rsidRPr="00242CFD" w:rsidRDefault="00242CFD" w:rsidP="007F3A6B">
      <w:pPr>
        <w:spacing w:line="260" w:lineRule="atLeast"/>
        <w:rPr>
          <w:rFonts w:ascii="Arial" w:hAnsi="Arial" w:cs="Arial"/>
          <w:sz w:val="16"/>
          <w:szCs w:val="16"/>
        </w:rPr>
      </w:pPr>
      <w:hyperlink r:id="rId11" w:history="1">
        <w:r w:rsidRPr="00242CFD">
          <w:rPr>
            <w:rStyle w:val="Hyperlink"/>
            <w:rFonts w:ascii="Arial" w:hAnsi="Arial" w:cs="Arial"/>
            <w:sz w:val="16"/>
            <w:szCs w:val="16"/>
          </w:rPr>
          <w:t>https://www.veiligheid.nl/valpreventie/kennis-en-cijfers/cijfers</w:t>
        </w:r>
      </w:hyperlink>
    </w:p>
    <w:p w:rsidR="00FC0B78" w:rsidRPr="00242CFD" w:rsidRDefault="000751F4" w:rsidP="007F3A6B">
      <w:pPr>
        <w:spacing w:line="260" w:lineRule="atLeast"/>
        <w:rPr>
          <w:rFonts w:ascii="Arial" w:hAnsi="Arial" w:cs="Arial"/>
          <w:sz w:val="16"/>
          <w:szCs w:val="16"/>
        </w:rPr>
      </w:pPr>
      <w:r w:rsidRPr="00242CFD">
        <w:rPr>
          <w:rFonts w:ascii="Arial" w:hAnsi="Arial" w:cs="Arial"/>
          <w:sz w:val="16"/>
          <w:szCs w:val="16"/>
        </w:rPr>
        <w:t>Monitor drugsincidenten</w:t>
      </w:r>
      <w:r w:rsidR="00242CFD" w:rsidRPr="00242CFD">
        <w:rPr>
          <w:rFonts w:ascii="Arial" w:hAnsi="Arial" w:cs="Arial"/>
          <w:sz w:val="16"/>
          <w:szCs w:val="16"/>
        </w:rPr>
        <w:t xml:space="preserve"> (Drugs-related incidents)</w:t>
      </w:r>
      <w:r w:rsidRPr="00242CFD">
        <w:rPr>
          <w:rFonts w:ascii="Arial" w:hAnsi="Arial" w:cs="Arial"/>
          <w:sz w:val="16"/>
          <w:szCs w:val="16"/>
        </w:rPr>
        <w:t>.</w:t>
      </w:r>
    </w:p>
    <w:p w:rsidR="00FC0B78" w:rsidRPr="00242CFD" w:rsidRDefault="00242CFD" w:rsidP="007F3A6B">
      <w:pPr>
        <w:spacing w:line="260" w:lineRule="atLeast"/>
        <w:rPr>
          <w:rFonts w:ascii="Arial" w:hAnsi="Arial" w:cs="Arial"/>
          <w:sz w:val="16"/>
          <w:szCs w:val="16"/>
          <w:lang w:val="en-GB"/>
        </w:rPr>
      </w:pPr>
      <w:hyperlink r:id="rId12" w:history="1">
        <w:r w:rsidRPr="00242CFD">
          <w:rPr>
            <w:rStyle w:val="Hyperlink"/>
            <w:rFonts w:ascii="Arial" w:hAnsi="Arial" w:cs="Arial"/>
            <w:sz w:val="16"/>
            <w:szCs w:val="16"/>
            <w:lang w:val="en-GB"/>
          </w:rPr>
          <w:t>https://assets.trimbos.nl/docs/eb36c36b-f945-49f6-ad06-4cd56659a4f0.pdf</w:t>
        </w:r>
      </w:hyperlink>
    </w:p>
    <w:p w:rsidR="000751F4" w:rsidRPr="00242CFD" w:rsidRDefault="00B15B27" w:rsidP="007F3A6B">
      <w:pPr>
        <w:spacing w:line="260" w:lineRule="atLeast"/>
        <w:rPr>
          <w:rFonts w:ascii="Arial" w:hAnsi="Arial" w:cs="Arial"/>
          <w:sz w:val="16"/>
          <w:szCs w:val="16"/>
          <w:lang w:val="en-US"/>
        </w:rPr>
      </w:pPr>
      <w:r w:rsidRPr="00242CFD">
        <w:rPr>
          <w:rFonts w:ascii="Arial" w:hAnsi="Arial" w:cs="Arial"/>
          <w:sz w:val="16"/>
          <w:szCs w:val="16"/>
          <w:lang w:val="en-US"/>
        </w:rPr>
        <w:t>Emergency department visits due to vertebral fractures in the Netherlands, 1986-2008.</w:t>
      </w:r>
    </w:p>
    <w:p w:rsidR="00B15B27" w:rsidRPr="00242CFD" w:rsidRDefault="00242CFD" w:rsidP="007F3A6B">
      <w:pPr>
        <w:spacing w:line="260" w:lineRule="atLeast"/>
        <w:rPr>
          <w:rFonts w:ascii="Arial" w:hAnsi="Arial" w:cs="Arial"/>
          <w:sz w:val="16"/>
          <w:szCs w:val="16"/>
          <w:lang w:val="en-US"/>
        </w:rPr>
      </w:pPr>
      <w:hyperlink r:id="rId13" w:history="1">
        <w:r w:rsidRPr="00242CFD">
          <w:rPr>
            <w:rStyle w:val="Hyperlink"/>
            <w:rFonts w:ascii="Arial" w:hAnsi="Arial" w:cs="Arial"/>
            <w:sz w:val="16"/>
            <w:szCs w:val="16"/>
            <w:lang w:val="en-US"/>
          </w:rPr>
          <w:t>https://www.ncbi.nlm.nih.gov/pubmed/22055140</w:t>
        </w:r>
      </w:hyperlink>
    </w:p>
    <w:p w:rsidR="000751F4" w:rsidRPr="00242CFD" w:rsidRDefault="000751F4" w:rsidP="007F3A6B">
      <w:pPr>
        <w:spacing w:line="260" w:lineRule="atLeast"/>
        <w:rPr>
          <w:rFonts w:ascii="Arial" w:hAnsi="Arial" w:cs="Arial"/>
          <w:sz w:val="16"/>
          <w:szCs w:val="16"/>
          <w:lang w:val="en-US"/>
        </w:rPr>
      </w:pPr>
      <w:r w:rsidRPr="00242CFD">
        <w:rPr>
          <w:rFonts w:ascii="Arial" w:hAnsi="Arial" w:cs="Arial"/>
          <w:sz w:val="16"/>
          <w:szCs w:val="16"/>
          <w:lang w:val="en-US"/>
        </w:rPr>
        <w:t xml:space="preserve">The economic burden of injury: Health care and productivity costs of injuries in the Netherlands. </w:t>
      </w:r>
      <w:hyperlink r:id="rId14" w:history="1">
        <w:r w:rsidR="00242CFD" w:rsidRPr="00242CFD">
          <w:rPr>
            <w:rStyle w:val="Hyperlink"/>
            <w:rFonts w:ascii="Arial" w:hAnsi="Arial" w:cs="Arial"/>
            <w:sz w:val="16"/>
            <w:szCs w:val="16"/>
            <w:lang w:val="en-US"/>
          </w:rPr>
          <w:t>https://www.ncbi.nlm.nih.gov/pubmed/27177394</w:t>
        </w:r>
      </w:hyperlink>
    </w:p>
    <w:p w:rsidR="000751F4" w:rsidRPr="00242CFD" w:rsidRDefault="000751F4" w:rsidP="007F3A6B">
      <w:pPr>
        <w:spacing w:line="260" w:lineRule="atLeast"/>
        <w:rPr>
          <w:rFonts w:ascii="Arial" w:hAnsi="Arial" w:cs="Arial"/>
          <w:sz w:val="16"/>
          <w:szCs w:val="16"/>
          <w:lang w:val="en-US"/>
        </w:rPr>
      </w:pPr>
      <w:r w:rsidRPr="00242CFD">
        <w:rPr>
          <w:rFonts w:ascii="Arial" w:hAnsi="Arial" w:cs="Arial"/>
          <w:sz w:val="16"/>
          <w:szCs w:val="16"/>
          <w:lang w:val="en-US"/>
        </w:rPr>
        <w:t xml:space="preserve">Incidence and costs of bicycle-related traumatic brain injuries in the Netherlands. </w:t>
      </w:r>
    </w:p>
    <w:p w:rsidR="000751F4" w:rsidRDefault="00A418D8" w:rsidP="007F3A6B">
      <w:pPr>
        <w:spacing w:line="260" w:lineRule="atLeast"/>
        <w:rPr>
          <w:rFonts w:ascii="Arial" w:hAnsi="Arial" w:cs="Arial"/>
          <w:sz w:val="20"/>
          <w:szCs w:val="20"/>
          <w:lang w:val="en-US"/>
        </w:rPr>
      </w:pPr>
      <w:hyperlink r:id="rId15" w:history="1">
        <w:r w:rsidR="004446EE" w:rsidRPr="00242CFD">
          <w:rPr>
            <w:rStyle w:val="Hyperlink"/>
            <w:rFonts w:ascii="Arial" w:hAnsi="Arial" w:cs="Arial"/>
            <w:sz w:val="16"/>
            <w:szCs w:val="16"/>
            <w:lang w:val="en-US"/>
          </w:rPr>
          <w:t>https://www.ncbi.nlm.nih.gov/pubmed/25939135</w:t>
        </w:r>
      </w:hyperlink>
    </w:p>
    <w:p w:rsidR="004446EE" w:rsidRDefault="004446EE" w:rsidP="007F3A6B">
      <w:pPr>
        <w:spacing w:line="260" w:lineRule="atLeast"/>
        <w:rPr>
          <w:rFonts w:ascii="Arial" w:hAnsi="Arial" w:cs="Arial"/>
          <w:sz w:val="20"/>
          <w:szCs w:val="20"/>
          <w:lang w:val="en-US"/>
        </w:rPr>
      </w:pPr>
    </w:p>
    <w:p w:rsidR="004446EE" w:rsidRDefault="004446EE" w:rsidP="007F3A6B">
      <w:pPr>
        <w:spacing w:line="260" w:lineRule="atLeast"/>
        <w:rPr>
          <w:rFonts w:ascii="Arial" w:hAnsi="Arial" w:cs="Arial"/>
          <w:sz w:val="20"/>
          <w:szCs w:val="20"/>
          <w:lang w:val="en-US"/>
        </w:rPr>
      </w:pPr>
    </w:p>
    <w:p w:rsidR="004446EE" w:rsidRPr="000751F4" w:rsidRDefault="004446EE" w:rsidP="007F3A6B">
      <w:pPr>
        <w:spacing w:line="260" w:lineRule="atLeast"/>
        <w:rPr>
          <w:rFonts w:ascii="Arial" w:hAnsi="Arial" w:cs="Arial"/>
          <w:sz w:val="20"/>
          <w:szCs w:val="20"/>
          <w:lang w:val="en-US"/>
        </w:rPr>
      </w:pPr>
    </w:p>
    <w:sectPr w:rsidR="004446EE" w:rsidRPr="000751F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Light">
    <w:altName w:val="Times New Roman"/>
    <w:charset w:val="00"/>
    <w:family w:val="auto"/>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A0"/>
    <w:rsid w:val="00003930"/>
    <w:rsid w:val="000751F4"/>
    <w:rsid w:val="000B4DD5"/>
    <w:rsid w:val="002048CE"/>
    <w:rsid w:val="00242CFD"/>
    <w:rsid w:val="002454CB"/>
    <w:rsid w:val="002720C8"/>
    <w:rsid w:val="00283DFA"/>
    <w:rsid w:val="002D58A0"/>
    <w:rsid w:val="003F1370"/>
    <w:rsid w:val="004446EE"/>
    <w:rsid w:val="00584AB1"/>
    <w:rsid w:val="005B3B5F"/>
    <w:rsid w:val="00642CBA"/>
    <w:rsid w:val="007F3A6B"/>
    <w:rsid w:val="008976BF"/>
    <w:rsid w:val="008C6B2B"/>
    <w:rsid w:val="00A418D8"/>
    <w:rsid w:val="00AC4028"/>
    <w:rsid w:val="00B15B27"/>
    <w:rsid w:val="00BE387B"/>
    <w:rsid w:val="00C848DE"/>
    <w:rsid w:val="00CB31E3"/>
    <w:rsid w:val="00DB23EC"/>
    <w:rsid w:val="00E12CAC"/>
    <w:rsid w:val="00E65D4B"/>
    <w:rsid w:val="00FC0B78"/>
    <w:rsid w:val="00FF4E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noProof/>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848DE"/>
    <w:rPr>
      <w:color w:val="0000FF" w:themeColor="hyperlink"/>
      <w:u w:val="single"/>
    </w:rPr>
  </w:style>
  <w:style w:type="paragraph" w:styleId="Geenafstand">
    <w:name w:val="No Spacing"/>
    <w:uiPriority w:val="1"/>
    <w:qFormat/>
    <w:rsid w:val="000B4DD5"/>
    <w:pPr>
      <w:spacing w:line="240" w:lineRule="auto"/>
      <w:jc w:val="both"/>
    </w:pPr>
    <w:rPr>
      <w:rFonts w:ascii="Calibri" w:eastAsia="SimSun" w:hAnsi="Calibri" w:cs="Calibri-Light"/>
      <w:noProof/>
      <w:color w:val="000000"/>
      <w:sz w:val="22"/>
      <w:szCs w:val="22"/>
      <w:lang w:val="en-US" w:eastAsia="zh-CN"/>
    </w:rPr>
  </w:style>
  <w:style w:type="paragraph" w:styleId="Ballontekst">
    <w:name w:val="Balloon Text"/>
    <w:basedOn w:val="Standaard"/>
    <w:link w:val="BallontekstChar"/>
    <w:rsid w:val="00242CFD"/>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42CFD"/>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noProof/>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848DE"/>
    <w:rPr>
      <w:color w:val="0000FF" w:themeColor="hyperlink"/>
      <w:u w:val="single"/>
    </w:rPr>
  </w:style>
  <w:style w:type="paragraph" w:styleId="Geenafstand">
    <w:name w:val="No Spacing"/>
    <w:uiPriority w:val="1"/>
    <w:qFormat/>
    <w:rsid w:val="000B4DD5"/>
    <w:pPr>
      <w:spacing w:line="240" w:lineRule="auto"/>
      <w:jc w:val="both"/>
    </w:pPr>
    <w:rPr>
      <w:rFonts w:ascii="Calibri" w:eastAsia="SimSun" w:hAnsi="Calibri" w:cs="Calibri-Light"/>
      <w:noProof/>
      <w:color w:val="000000"/>
      <w:sz w:val="22"/>
      <w:szCs w:val="22"/>
      <w:lang w:val="en-US" w:eastAsia="zh-CN"/>
    </w:rPr>
  </w:style>
  <w:style w:type="paragraph" w:styleId="Ballontekst">
    <w:name w:val="Balloon Text"/>
    <w:basedOn w:val="Standaard"/>
    <w:link w:val="BallontekstChar"/>
    <w:rsid w:val="00242CFD"/>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42CFD"/>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iligheid.nl/organisatie/actueel/nieuws/ruim-2-miljoen-seh-bezoeken-in-2015" TargetMode="External"/><Relationship Id="rId13" Type="http://schemas.openxmlformats.org/officeDocument/2006/relationships/hyperlink" Target="https://www.ncbi.nlm.nih.gov/pubmed/22055140"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assets.trimbos.nl/docs/eb36c36b-f945-49f6-ad06-4cd56659a4f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veiligheid.nl/valpreventie/kennis-en-cijfers/cijfers" TargetMode="External"/><Relationship Id="rId5" Type="http://schemas.openxmlformats.org/officeDocument/2006/relationships/webSettings" Target="webSettings.xml"/><Relationship Id="rId15" Type="http://schemas.openxmlformats.org/officeDocument/2006/relationships/hyperlink" Target="https://www.ncbi.nlm.nih.gov/pubmed/25939135" TargetMode="External"/><Relationship Id="rId10" Type="http://schemas.openxmlformats.org/officeDocument/2006/relationships/hyperlink" Target="https://www.veiligheid.nl/organisatie/actueel/nieuws/alcoholvergiftiging-op-de-seh-in-2015-weer-gestegen" TargetMode="External"/><Relationship Id="rId4" Type="http://schemas.openxmlformats.org/officeDocument/2006/relationships/settings" Target="settings.xml"/><Relationship Id="rId9" Type="http://schemas.openxmlformats.org/officeDocument/2006/relationships/hyperlink" Target="https://www.veiligheid.nl/organisatie/actueel/nieuws/opnieuw-fors-minder-vuurwerkslachtoffers" TargetMode="External"/><Relationship Id="rId14" Type="http://schemas.openxmlformats.org/officeDocument/2006/relationships/hyperlink" Target="https://www.ncbi.nlm.nih.gov/pubmed/2717739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C5C1C-CB4A-406C-BBE8-2D1A1B08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781</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Stichting Consument en Veiligheid</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Huib Valkenberg</dc:creator>
  <cp:lastModifiedBy>rogmans</cp:lastModifiedBy>
  <cp:revision>3</cp:revision>
  <dcterms:created xsi:type="dcterms:W3CDTF">2017-02-16T09:31:00Z</dcterms:created>
  <dcterms:modified xsi:type="dcterms:W3CDTF">2017-02-16T09:43:00Z</dcterms:modified>
</cp:coreProperties>
</file>